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50A" w:rsidRPr="00AB0FEB" w:rsidRDefault="00D6350A" w:rsidP="003A14F9">
      <w:pPr>
        <w:pStyle w:val="Default"/>
        <w:jc w:val="both"/>
        <w:rPr>
          <w:rFonts w:ascii="Calibri" w:hAnsi="Calibri" w:cs="Calibri"/>
          <w:sz w:val="22"/>
          <w:szCs w:val="22"/>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Default="00D6350A" w:rsidP="00A77582">
      <w:pPr>
        <w:pStyle w:val="Default"/>
        <w:jc w:val="center"/>
        <w:rPr>
          <w:b/>
          <w:sz w:val="40"/>
          <w:szCs w:val="40"/>
        </w:rPr>
      </w:pPr>
    </w:p>
    <w:p w:rsidR="00D6350A" w:rsidRPr="004C5513" w:rsidRDefault="00D6350A" w:rsidP="00A77582">
      <w:pPr>
        <w:pStyle w:val="Default"/>
        <w:jc w:val="center"/>
        <w:rPr>
          <w:b/>
          <w:bCs/>
          <w:sz w:val="40"/>
          <w:szCs w:val="40"/>
          <w:lang w:val="en-GB"/>
        </w:rPr>
      </w:pPr>
      <w:r w:rsidRPr="004C5513">
        <w:rPr>
          <w:b/>
          <w:sz w:val="40"/>
          <w:szCs w:val="40"/>
        </w:rPr>
        <w:t xml:space="preserve">CEZ contribution to </w:t>
      </w:r>
      <w:r w:rsidRPr="004C5513">
        <w:rPr>
          <w:b/>
          <w:bCs/>
          <w:sz w:val="40"/>
          <w:szCs w:val="40"/>
          <w:lang w:val="en-GB"/>
        </w:rPr>
        <w:t xml:space="preserve">the consultation paper on Draft Technical Standards for the Regulation on OTC Derivatives, CCPs and Trade Repositories </w:t>
      </w:r>
    </w:p>
    <w:p w:rsidR="00D6350A" w:rsidRPr="009A1D8B" w:rsidRDefault="00D6350A" w:rsidP="00A77582">
      <w:pPr>
        <w:pStyle w:val="Default"/>
        <w:jc w:val="center"/>
        <w:rPr>
          <w:b/>
          <w:bCs/>
          <w:sz w:val="36"/>
          <w:szCs w:val="36"/>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3A14F9">
      <w:pPr>
        <w:pStyle w:val="Default"/>
        <w:jc w:val="both"/>
        <w:rPr>
          <w:rFonts w:ascii="Calibri" w:hAnsi="Calibri" w:cs="Calibri"/>
          <w:b/>
          <w:bCs/>
          <w:sz w:val="22"/>
          <w:szCs w:val="22"/>
          <w:lang w:val="en-GB"/>
        </w:rPr>
      </w:pPr>
    </w:p>
    <w:p w:rsidR="00D6350A" w:rsidRDefault="00D6350A" w:rsidP="00F014C9">
      <w:pPr>
        <w:pStyle w:val="Default"/>
        <w:jc w:val="right"/>
        <w:rPr>
          <w:sz w:val="22"/>
          <w:szCs w:val="22"/>
          <w:lang w:val="en-GB"/>
        </w:rPr>
      </w:pPr>
    </w:p>
    <w:p w:rsidR="00D6350A" w:rsidRDefault="00D6350A" w:rsidP="00F014C9">
      <w:pPr>
        <w:pStyle w:val="Default"/>
        <w:jc w:val="right"/>
        <w:rPr>
          <w:sz w:val="22"/>
          <w:szCs w:val="22"/>
          <w:lang w:val="en-GB"/>
        </w:rPr>
      </w:pPr>
    </w:p>
    <w:p w:rsidR="00D6350A" w:rsidRPr="004C5513" w:rsidRDefault="00D6350A" w:rsidP="00F014C9">
      <w:pPr>
        <w:pStyle w:val="Default"/>
        <w:jc w:val="right"/>
        <w:rPr>
          <w:sz w:val="22"/>
          <w:szCs w:val="22"/>
          <w:lang w:val="en-GB"/>
        </w:rPr>
      </w:pPr>
      <w:r w:rsidRPr="004C5513">
        <w:rPr>
          <w:sz w:val="22"/>
          <w:szCs w:val="22"/>
          <w:lang w:val="en-GB"/>
        </w:rPr>
        <w:t xml:space="preserve"> August 5</w:t>
      </w:r>
      <w:r w:rsidRPr="004C5513">
        <w:rPr>
          <w:sz w:val="22"/>
          <w:szCs w:val="22"/>
          <w:vertAlign w:val="superscript"/>
          <w:lang w:val="en-GB"/>
        </w:rPr>
        <w:t>th</w:t>
      </w:r>
      <w:r w:rsidRPr="004C5513">
        <w:rPr>
          <w:sz w:val="22"/>
          <w:szCs w:val="22"/>
          <w:lang w:val="en-GB"/>
        </w:rPr>
        <w:t xml:space="preserve">, 2012 </w:t>
      </w:r>
    </w:p>
    <w:p w:rsidR="00D6350A" w:rsidRPr="004C5513" w:rsidRDefault="00D6350A" w:rsidP="003A14F9">
      <w:pPr>
        <w:pStyle w:val="Default"/>
        <w:jc w:val="both"/>
        <w:rPr>
          <w:b/>
          <w:bCs/>
          <w:sz w:val="22"/>
          <w:szCs w:val="22"/>
          <w:lang w:val="en-GB"/>
        </w:rPr>
      </w:pPr>
    </w:p>
    <w:p w:rsidR="00D6350A" w:rsidRPr="004C5513" w:rsidRDefault="00D6350A" w:rsidP="003A14F9">
      <w:pPr>
        <w:pStyle w:val="Default"/>
        <w:jc w:val="both"/>
        <w:rPr>
          <w:b/>
          <w:bCs/>
          <w:sz w:val="22"/>
          <w:szCs w:val="22"/>
          <w:lang w:val="en-GB"/>
        </w:rPr>
      </w:pPr>
    </w:p>
    <w:p w:rsidR="00D6350A" w:rsidRPr="004C5513" w:rsidRDefault="00D6350A" w:rsidP="00CE7D4F">
      <w:pPr>
        <w:pStyle w:val="Default"/>
        <w:jc w:val="both"/>
        <w:rPr>
          <w:sz w:val="22"/>
          <w:szCs w:val="22"/>
          <w:lang w:val="en-GB"/>
        </w:rPr>
      </w:pPr>
      <w:r w:rsidRPr="004C5513">
        <w:rPr>
          <w:sz w:val="22"/>
          <w:szCs w:val="22"/>
          <w:lang w:val="en-GB"/>
        </w:rPr>
        <w:t>CEZ, a.s. (“CEZ”) welcomes the opportunity to present its views</w:t>
      </w:r>
      <w:r w:rsidRPr="004C5513">
        <w:rPr>
          <w:sz w:val="22"/>
          <w:szCs w:val="22"/>
        </w:rPr>
        <w:t xml:space="preserve"> on t</w:t>
      </w:r>
      <w:r w:rsidRPr="004C5513">
        <w:rPr>
          <w:sz w:val="22"/>
          <w:szCs w:val="22"/>
          <w:lang w:val="en-GB"/>
        </w:rPr>
        <w:t xml:space="preserve">he consultation by the European Securities and Markets Authority (ESMA) on its Draft Technical Standards for the Regulation on OTC Derivatives, CCPs and Trade Repositories. </w:t>
      </w:r>
    </w:p>
    <w:p w:rsidR="00D6350A" w:rsidRPr="004C5513" w:rsidRDefault="00D6350A" w:rsidP="00CE7D4F">
      <w:pPr>
        <w:pStyle w:val="Default"/>
        <w:jc w:val="both"/>
        <w:rPr>
          <w:sz w:val="22"/>
          <w:szCs w:val="22"/>
          <w:lang w:val="en-GB"/>
        </w:rPr>
      </w:pPr>
    </w:p>
    <w:p w:rsidR="00D6350A" w:rsidRPr="004C5513" w:rsidRDefault="00D6350A" w:rsidP="00CE7D4F">
      <w:pPr>
        <w:pStyle w:val="Default"/>
        <w:jc w:val="both"/>
        <w:rPr>
          <w:sz w:val="22"/>
          <w:szCs w:val="22"/>
          <w:lang w:val="en-GB"/>
        </w:rPr>
      </w:pPr>
      <w:r w:rsidRPr="004C5513">
        <w:rPr>
          <w:sz w:val="22"/>
          <w:szCs w:val="22"/>
          <w:lang w:val="en-GB"/>
        </w:rPr>
        <w:t>Being an EFET member, CEZ fully supports the position on this consultation presented by EFET</w:t>
      </w:r>
      <w:r>
        <w:rPr>
          <w:sz w:val="22"/>
          <w:szCs w:val="22"/>
          <w:lang w:val="en-GB"/>
        </w:rPr>
        <w:t xml:space="preserve">, so for detailed assessment, please view the EFET paper. We find following issues extremely important and would like to point them out: </w:t>
      </w:r>
    </w:p>
    <w:p w:rsidR="00D6350A" w:rsidRPr="001F1590" w:rsidRDefault="00D6350A" w:rsidP="00CE7D4F">
      <w:pPr>
        <w:pStyle w:val="Default"/>
        <w:jc w:val="both"/>
        <w:rPr>
          <w:sz w:val="22"/>
          <w:szCs w:val="22"/>
          <w:lang w:val="en-GB"/>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color w:val="000000"/>
          <w:lang w:val="en-GB" w:eastAsia="nl-NL"/>
        </w:rPr>
        <w:t xml:space="preserve">CEZ believes, that the </w:t>
      </w:r>
      <w:r w:rsidRPr="001F1590">
        <w:rPr>
          <w:rFonts w:ascii="Arial" w:hAnsi="Arial"/>
          <w:lang w:val="en-GB"/>
        </w:rPr>
        <w:t xml:space="preserve">Draft technical standards should be </w:t>
      </w:r>
      <w:r w:rsidRPr="001F1590">
        <w:rPr>
          <w:rFonts w:ascii="Arial" w:hAnsi="Arial"/>
          <w:b/>
          <w:lang w:val="en-GB"/>
        </w:rPr>
        <w:t>explicit on how the clearing thresholds ought to be calculated</w:t>
      </w:r>
      <w:r w:rsidRPr="001F1590">
        <w:rPr>
          <w:rFonts w:ascii="Arial" w:hAnsi="Arial"/>
          <w:lang w:val="en-GB"/>
        </w:rPr>
        <w:t>.</w:t>
      </w:r>
    </w:p>
    <w:p w:rsidR="00D6350A" w:rsidRPr="001F1590" w:rsidRDefault="00D6350A" w:rsidP="001F1590">
      <w:pPr>
        <w:spacing w:after="0" w:line="240" w:lineRule="auto"/>
        <w:ind w:left="360"/>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color w:val="000000"/>
          <w:lang w:val="en-GB" w:eastAsia="nl-NL"/>
        </w:rPr>
        <w:t>CEZ has</w:t>
      </w:r>
      <w:r w:rsidRPr="001F1590">
        <w:rPr>
          <w:rFonts w:ascii="Arial" w:hAnsi="Arial"/>
          <w:bCs/>
          <w:color w:val="000000"/>
          <w:lang w:val="en-GB" w:eastAsia="nl-NL"/>
        </w:rPr>
        <w:t xml:space="preserve"> a strong preference of </w:t>
      </w:r>
      <w:r w:rsidRPr="001F1590">
        <w:rPr>
          <w:rFonts w:ascii="Arial" w:hAnsi="Arial"/>
          <w:b/>
          <w:bCs/>
          <w:color w:val="000000"/>
          <w:lang w:val="en-GB" w:eastAsia="nl-NL"/>
        </w:rPr>
        <w:t>basing the clearing threshold on a netted figure</w:t>
      </w:r>
      <w:r w:rsidRPr="001F1590">
        <w:rPr>
          <w:rFonts w:ascii="Arial" w:hAnsi="Arial"/>
          <w:color w:val="000000"/>
          <w:lang w:val="en-GB" w:eastAsia="nl-NL"/>
        </w:rPr>
        <w:t>. Such an approach is not only more representative of the risk carried by firms (please mind that all jurisdictions allow termination and valuation of financial contracts and agreement upon insolvency of one party), but also better reflects the wording in Article 10 (4) (b) of EMIR, where it is explicitly stated that the clearing threshold “shall be determined taking into account the systemic relevance of the sum of net positions and exposures […]”. According to ESMA, the main reason for favouring a “gross” above a “netted” threshold is that the former would – especially for smaller companies- be easier to calculate and implement. As calculating netted exposures is at the basis of even the simplest trading system, we do not feel that this should be a decisive argument to choose for one or the other approach.</w:t>
      </w:r>
    </w:p>
    <w:p w:rsidR="00D6350A" w:rsidRPr="001F1590" w:rsidRDefault="00D6350A" w:rsidP="006E23E9">
      <w:pPr>
        <w:spacing w:after="0" w:line="240" w:lineRule="auto"/>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b/>
          <w:color w:val="000000"/>
          <w:lang w:val="en-GB" w:eastAsia="nl-NL"/>
        </w:rPr>
        <w:t>If ESMA decides to set the clearing threshold on a gross notional value, it is crucial that it is set at a level that reflects the high notional value of commodity derivative contracts compared to other asset classes</w:t>
      </w:r>
      <w:r w:rsidRPr="001F1590">
        <w:rPr>
          <w:rFonts w:ascii="Arial" w:hAnsi="Arial"/>
          <w:color w:val="000000"/>
          <w:lang w:val="en-GB" w:eastAsia="nl-NL"/>
        </w:rPr>
        <w:t xml:space="preserve"> and that is commensurate with a level of systemic risk. At the moment it is not proven – or at least reasonably argued by ESMA – why companies above a level of 3 billion euro are systemically important and thus should be captured by the clearing threshold. If the threshold is not set at a level that reflects systemic importance, also non-systemically important parties will be captured. The additional cost and liquidity constraints that are triggered by mandatory clearing will result in less market liquidity on traded markets, less competition, less room for investments in new generation capacity, higher dependency on financial markets and in the end; higher systemic risk. </w:t>
      </w:r>
      <w:r w:rsidRPr="001F1590">
        <w:rPr>
          <w:rFonts w:ascii="Arial" w:hAnsi="Arial"/>
          <w:bCs/>
          <w:color w:val="000000"/>
          <w:lang w:val="en-GB" w:eastAsia="nl-NL"/>
        </w:rPr>
        <w:t>CEZ is therefore of the opinion that ESMA should base the level of the clearing threshold on real transaction data that will be gathered under the EMIR reporting requirements</w:t>
      </w:r>
      <w:r w:rsidRPr="001F1590">
        <w:rPr>
          <w:rFonts w:ascii="Arial" w:hAnsi="Arial"/>
          <w:color w:val="000000"/>
          <w:lang w:val="en-GB" w:eastAsia="nl-NL"/>
        </w:rPr>
        <w:t xml:space="preserve">. </w:t>
      </w:r>
    </w:p>
    <w:p w:rsidR="00D6350A" w:rsidRPr="001F1590" w:rsidRDefault="00D6350A" w:rsidP="00272D0B">
      <w:pPr>
        <w:spacing w:after="0" w:line="240" w:lineRule="auto"/>
        <w:ind w:left="360"/>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b/>
          <w:bCs/>
          <w:color w:val="000000"/>
          <w:lang w:val="en-GB" w:eastAsia="nl-NL"/>
        </w:rPr>
        <w:t>We strongly oppose the idea that crossing a threshold in one asset class would trigger clearing (and thus margining requirements) in other asset classes</w:t>
      </w:r>
      <w:r w:rsidRPr="001F1590">
        <w:rPr>
          <w:rFonts w:ascii="Arial" w:hAnsi="Arial"/>
          <w:bCs/>
          <w:color w:val="000000"/>
          <w:lang w:val="en-GB" w:eastAsia="nl-NL"/>
        </w:rPr>
        <w:t xml:space="preserve"> and for other entities as well</w:t>
      </w:r>
      <w:r w:rsidRPr="001F1590">
        <w:rPr>
          <w:rFonts w:ascii="Arial" w:hAnsi="Arial"/>
          <w:color w:val="000000"/>
          <w:lang w:val="en-GB" w:eastAsia="nl-NL"/>
        </w:rPr>
        <w:t>. We urge ESMA to ensure that crossing the threshold in one asset class would only trigger clearing of the transactions relating to that specific asset class.</w:t>
      </w:r>
    </w:p>
    <w:p w:rsidR="00D6350A" w:rsidRPr="001F1590" w:rsidRDefault="00D6350A" w:rsidP="00272D0B">
      <w:pPr>
        <w:spacing w:after="0" w:line="240" w:lineRule="auto"/>
        <w:ind w:left="360"/>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color w:val="000000"/>
          <w:lang w:val="en-GB" w:eastAsia="nl-NL"/>
        </w:rPr>
        <w:t xml:space="preserve">In order for market parties to be able to adequately assess the impact of EMIR </w:t>
      </w:r>
      <w:r w:rsidRPr="001F1590">
        <w:rPr>
          <w:rFonts w:ascii="Arial" w:hAnsi="Arial"/>
          <w:bCs/>
          <w:color w:val="000000"/>
          <w:lang w:val="en-GB" w:eastAsia="nl-NL"/>
        </w:rPr>
        <w:t>it is crucial to know which derivative contracts are in-and out of scope of the regulation</w:t>
      </w:r>
      <w:r w:rsidRPr="001F1590">
        <w:rPr>
          <w:rFonts w:ascii="Arial" w:hAnsi="Arial"/>
          <w:color w:val="000000"/>
          <w:lang w:val="en-GB" w:eastAsia="nl-NL"/>
        </w:rPr>
        <w:t xml:space="preserve"> and precisely which transactions count towards the clearing threshold.  </w:t>
      </w:r>
    </w:p>
    <w:p w:rsidR="00D6350A" w:rsidRPr="001F1590" w:rsidRDefault="00D6350A" w:rsidP="00CE7D4F">
      <w:pPr>
        <w:spacing w:after="0" w:line="240" w:lineRule="auto"/>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lang w:val="en-GB" w:eastAsia="nl-NL"/>
        </w:rPr>
        <w:t xml:space="preserve">Based on EMIR level 1 the use of bank guarantees is already restricted to non-financials. Especially the requirement that bank guarantees should be fully backed by collateral that can be realised on a same day basis, strongly limits their applicability. Given the fact that non-financials are </w:t>
      </w:r>
      <w:r w:rsidRPr="001F1590">
        <w:rPr>
          <w:rFonts w:ascii="Arial" w:hAnsi="Arial"/>
          <w:i/>
          <w:lang w:val="en-GB" w:eastAsia="nl-NL"/>
        </w:rPr>
        <w:t>not</w:t>
      </w:r>
      <w:r w:rsidRPr="001F1590">
        <w:rPr>
          <w:rFonts w:ascii="Arial" w:hAnsi="Arial"/>
          <w:lang w:val="en-GB" w:eastAsia="nl-NL"/>
        </w:rPr>
        <w:t xml:space="preserve"> systemically important to the economy and don’t have the same access to financial resources as banks, </w:t>
      </w:r>
      <w:r w:rsidRPr="001F1590">
        <w:rPr>
          <w:rFonts w:ascii="Arial" w:hAnsi="Arial"/>
          <w:bCs/>
          <w:lang w:val="en-GB" w:eastAsia="nl-NL"/>
        </w:rPr>
        <w:t>we firmly believe that there should be no undue requirements on the use of bank guarantees as collateral by non-financial firms</w:t>
      </w:r>
      <w:r>
        <w:rPr>
          <w:rFonts w:ascii="Arial" w:hAnsi="Arial"/>
          <w:bCs/>
          <w:lang w:val="en-GB" w:eastAsia="nl-NL"/>
        </w:rPr>
        <w:t>.</w:t>
      </w:r>
    </w:p>
    <w:p w:rsidR="00D6350A" w:rsidRPr="001F1590" w:rsidRDefault="00D6350A" w:rsidP="004C5513">
      <w:pPr>
        <w:spacing w:after="0" w:line="240" w:lineRule="auto"/>
        <w:ind w:left="360"/>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000000"/>
          <w:lang w:val="en-GB" w:eastAsia="nl-NL"/>
        </w:rPr>
      </w:pPr>
      <w:r w:rsidRPr="001F1590">
        <w:rPr>
          <w:rFonts w:ascii="Arial" w:hAnsi="Arial"/>
          <w:lang w:val="en-GB" w:eastAsia="nl-NL"/>
        </w:rPr>
        <w:t xml:space="preserve">With regard to risk mitigation requirements for non-cleared contracts, we note that ESMA is proposing a set of measures that could help to reduce (counterparty) risk for un-cleared trades. Although these measures can in essence be quite useful, they also seem to duplicate existing mechanisms (such as existing EFET and ISDA agreements) that are proven and effective. </w:t>
      </w:r>
      <w:r w:rsidRPr="001F1590">
        <w:rPr>
          <w:rFonts w:ascii="Arial" w:hAnsi="Arial"/>
          <w:bCs/>
          <w:lang w:val="en-GB" w:eastAsia="nl-NL"/>
        </w:rPr>
        <w:t>We therefore urge ESMA not to duplicate existing arrangements for risk mitigation of non-cleared contracts</w:t>
      </w:r>
      <w:r w:rsidRPr="001F1590">
        <w:rPr>
          <w:rFonts w:ascii="Arial" w:hAnsi="Arial"/>
          <w:lang w:val="en-GB" w:eastAsia="nl-NL"/>
        </w:rPr>
        <w:t xml:space="preserve">, but to liaise with ISDA and EFET, so that these agreements can be updated where necessary. </w:t>
      </w:r>
    </w:p>
    <w:p w:rsidR="00D6350A" w:rsidRPr="001F1590" w:rsidRDefault="00D6350A" w:rsidP="004C5513">
      <w:pPr>
        <w:spacing w:after="0" w:line="240" w:lineRule="auto"/>
        <w:jc w:val="both"/>
        <w:rPr>
          <w:rFonts w:ascii="Arial" w:hAnsi="Arial"/>
          <w:color w:val="000000"/>
          <w:lang w:val="en-GB" w:eastAsia="nl-NL"/>
        </w:rPr>
      </w:pPr>
    </w:p>
    <w:p w:rsidR="00D6350A" w:rsidRPr="001F1590" w:rsidRDefault="00D6350A" w:rsidP="004C5513">
      <w:pPr>
        <w:spacing w:after="0" w:line="240" w:lineRule="auto"/>
        <w:ind w:left="360"/>
        <w:jc w:val="both"/>
        <w:rPr>
          <w:rFonts w:ascii="Arial" w:hAnsi="Arial"/>
          <w:color w:val="000000"/>
          <w:lang w:val="en-GB" w:eastAsia="nl-NL"/>
        </w:rPr>
      </w:pPr>
    </w:p>
    <w:p w:rsidR="00D6350A" w:rsidRPr="001F1590" w:rsidRDefault="00D6350A" w:rsidP="001F1590">
      <w:pPr>
        <w:numPr>
          <w:ilvl w:val="0"/>
          <w:numId w:val="44"/>
        </w:numPr>
        <w:spacing w:after="0" w:line="240" w:lineRule="auto"/>
        <w:jc w:val="both"/>
        <w:rPr>
          <w:rFonts w:ascii="Arial" w:hAnsi="Arial"/>
          <w:color w:val="1F497D"/>
          <w:lang w:val="en-US" w:eastAsia="nl-NL"/>
        </w:rPr>
      </w:pPr>
      <w:r w:rsidRPr="001F1590">
        <w:rPr>
          <w:rFonts w:ascii="Arial" w:hAnsi="Arial"/>
          <w:bCs/>
          <w:color w:val="000000"/>
          <w:lang w:val="en-GB" w:eastAsia="nl-NL"/>
        </w:rPr>
        <w:t>Intra-group transactions do not have an effect on the market and they should be more clearly excluded</w:t>
      </w:r>
      <w:r w:rsidRPr="001F1590">
        <w:rPr>
          <w:rFonts w:ascii="Arial" w:hAnsi="Arial"/>
          <w:color w:val="000000"/>
          <w:lang w:val="en-GB" w:eastAsia="nl-NL"/>
        </w:rPr>
        <w:t xml:space="preserve"> from both counting towards i) the clearing threshold, ii) any requirement for clearing in the event a non-financial firm breaches the threshold, iii) any reporting requirements and iv) any additional risk mitigation requirements</w:t>
      </w:r>
    </w:p>
    <w:p w:rsidR="00D6350A" w:rsidRPr="001F1590" w:rsidRDefault="00D6350A" w:rsidP="004C5513">
      <w:pPr>
        <w:spacing w:after="0" w:line="240" w:lineRule="auto"/>
        <w:ind w:left="360"/>
        <w:jc w:val="both"/>
        <w:rPr>
          <w:rFonts w:ascii="Arial" w:hAnsi="Arial"/>
          <w:color w:val="1F497D"/>
          <w:lang w:val="en-US" w:eastAsia="nl-NL"/>
        </w:rPr>
      </w:pPr>
    </w:p>
    <w:p w:rsidR="00D6350A" w:rsidRPr="001F1590" w:rsidRDefault="00D6350A" w:rsidP="001F1590">
      <w:pPr>
        <w:numPr>
          <w:ilvl w:val="0"/>
          <w:numId w:val="44"/>
        </w:numPr>
        <w:spacing w:after="0" w:line="240" w:lineRule="auto"/>
        <w:jc w:val="both"/>
        <w:rPr>
          <w:rFonts w:ascii="Arial" w:hAnsi="Arial"/>
          <w:b/>
          <w:color w:val="1F497D"/>
          <w:lang w:val="en-GB"/>
        </w:rPr>
      </w:pPr>
      <w:r w:rsidRPr="001F1590">
        <w:rPr>
          <w:rFonts w:ascii="Arial" w:hAnsi="Arial"/>
          <w:b/>
          <w:color w:val="000000"/>
          <w:lang w:val="en-GB" w:eastAsia="nl-NL"/>
        </w:rPr>
        <w:t>It is of crucial importance that ESMA allows sufficient time for implementation of EMIR obligations.</w:t>
      </w:r>
    </w:p>
    <w:p w:rsidR="00D6350A" w:rsidRPr="001F1590" w:rsidRDefault="00D6350A" w:rsidP="0029168B">
      <w:pPr>
        <w:spacing w:after="0" w:line="240" w:lineRule="auto"/>
        <w:jc w:val="both"/>
        <w:rPr>
          <w:rFonts w:ascii="Arial" w:hAnsi="Arial"/>
          <w:lang w:val="en-GB"/>
        </w:rPr>
      </w:pPr>
    </w:p>
    <w:sectPr w:rsidR="00D6350A" w:rsidRPr="001F1590" w:rsidSect="009640B8">
      <w:footerReference w:type="even" r:id="rId7"/>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0A" w:rsidRDefault="00D6350A">
      <w:r>
        <w:separator/>
      </w:r>
    </w:p>
  </w:endnote>
  <w:endnote w:type="continuationSeparator" w:id="0">
    <w:p w:rsidR="00D6350A" w:rsidRDefault="00D63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0A" w:rsidRDefault="00D6350A" w:rsidP="004D77F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6350A" w:rsidRDefault="00D6350A" w:rsidP="009640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0A" w:rsidRDefault="00D6350A" w:rsidP="004D77F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D6350A" w:rsidRDefault="00D6350A" w:rsidP="009640B8">
    <w:pPr>
      <w:pStyle w:val="Default"/>
      <w:ind w:right="360"/>
      <w:rPr>
        <w:sz w:val="16"/>
        <w:szCs w:val="16"/>
      </w:rPr>
    </w:pPr>
  </w:p>
  <w:p w:rsidR="00D6350A" w:rsidRDefault="00D6350A" w:rsidP="001F1590">
    <w:pPr>
      <w:pStyle w:val="Default"/>
      <w:rPr>
        <w:sz w:val="16"/>
        <w:szCs w:val="16"/>
      </w:rPr>
    </w:pPr>
  </w:p>
  <w:p w:rsidR="00D6350A" w:rsidRPr="001F1590" w:rsidRDefault="00D6350A" w:rsidP="001F1590">
    <w:pPr>
      <w:pStyle w:val="Default"/>
      <w:rPr>
        <w:bCs/>
        <w:sz w:val="16"/>
        <w:szCs w:val="16"/>
        <w:lang w:val="en-GB"/>
      </w:rPr>
    </w:pPr>
    <w:r w:rsidRPr="001F1590">
      <w:rPr>
        <w:sz w:val="16"/>
        <w:szCs w:val="16"/>
      </w:rPr>
      <w:t xml:space="preserve">CEZ contribution to </w:t>
    </w:r>
    <w:r w:rsidRPr="001F1590">
      <w:rPr>
        <w:bCs/>
        <w:sz w:val="16"/>
        <w:szCs w:val="16"/>
        <w:lang w:val="en-GB"/>
      </w:rPr>
      <w:t xml:space="preserve">the consultation paper on Draft Technical Standards for the Regulation on OTC Derivatives, CCPs and Trade Repositories </w:t>
    </w:r>
  </w:p>
  <w:p w:rsidR="00D6350A" w:rsidRDefault="00D63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0A" w:rsidRDefault="00D6350A">
      <w:r>
        <w:separator/>
      </w:r>
    </w:p>
  </w:footnote>
  <w:footnote w:type="continuationSeparator" w:id="0">
    <w:p w:rsidR="00D6350A" w:rsidRDefault="00D63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B0E2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C600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783C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DEE13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D0AD3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FC02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CA5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9A3D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B23E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A0A152"/>
    <w:lvl w:ilvl="0">
      <w:start w:val="1"/>
      <w:numFmt w:val="bullet"/>
      <w:lvlText w:val=""/>
      <w:lvlJc w:val="left"/>
      <w:pPr>
        <w:tabs>
          <w:tab w:val="num" w:pos="360"/>
        </w:tabs>
        <w:ind w:left="360" w:hanging="360"/>
      </w:pPr>
      <w:rPr>
        <w:rFonts w:ascii="Symbol" w:hAnsi="Symbol" w:hint="default"/>
      </w:rPr>
    </w:lvl>
  </w:abstractNum>
  <w:abstractNum w:abstractNumId="10">
    <w:nsid w:val="04351C4C"/>
    <w:multiLevelType w:val="hybridMultilevel"/>
    <w:tmpl w:val="86EEC306"/>
    <w:lvl w:ilvl="0" w:tplc="DFEE4EFC">
      <w:start w:val="1"/>
      <w:numFmt w:val="decimal"/>
      <w:lvlText w:val="%1."/>
      <w:lvlJc w:val="left"/>
      <w:pPr>
        <w:ind w:left="1065" w:hanging="360"/>
      </w:pPr>
      <w:rPr>
        <w:rFonts w:cs="Times New Roman" w:hint="default"/>
      </w:rPr>
    </w:lvl>
    <w:lvl w:ilvl="1" w:tplc="04070019" w:tentative="1">
      <w:start w:val="1"/>
      <w:numFmt w:val="lowerLetter"/>
      <w:lvlText w:val="%2."/>
      <w:lvlJc w:val="left"/>
      <w:pPr>
        <w:ind w:left="1785" w:hanging="360"/>
      </w:pPr>
      <w:rPr>
        <w:rFonts w:cs="Times New Roman"/>
      </w:rPr>
    </w:lvl>
    <w:lvl w:ilvl="2" w:tplc="0407001B" w:tentative="1">
      <w:start w:val="1"/>
      <w:numFmt w:val="lowerRoman"/>
      <w:lvlText w:val="%3."/>
      <w:lvlJc w:val="right"/>
      <w:pPr>
        <w:ind w:left="2505" w:hanging="180"/>
      </w:pPr>
      <w:rPr>
        <w:rFonts w:cs="Times New Roman"/>
      </w:rPr>
    </w:lvl>
    <w:lvl w:ilvl="3" w:tplc="0407000F" w:tentative="1">
      <w:start w:val="1"/>
      <w:numFmt w:val="decimal"/>
      <w:lvlText w:val="%4."/>
      <w:lvlJc w:val="left"/>
      <w:pPr>
        <w:ind w:left="3225" w:hanging="360"/>
      </w:pPr>
      <w:rPr>
        <w:rFonts w:cs="Times New Roman"/>
      </w:rPr>
    </w:lvl>
    <w:lvl w:ilvl="4" w:tplc="04070019" w:tentative="1">
      <w:start w:val="1"/>
      <w:numFmt w:val="lowerLetter"/>
      <w:lvlText w:val="%5."/>
      <w:lvlJc w:val="left"/>
      <w:pPr>
        <w:ind w:left="3945" w:hanging="360"/>
      </w:pPr>
      <w:rPr>
        <w:rFonts w:cs="Times New Roman"/>
      </w:rPr>
    </w:lvl>
    <w:lvl w:ilvl="5" w:tplc="0407001B" w:tentative="1">
      <w:start w:val="1"/>
      <w:numFmt w:val="lowerRoman"/>
      <w:lvlText w:val="%6."/>
      <w:lvlJc w:val="right"/>
      <w:pPr>
        <w:ind w:left="4665" w:hanging="180"/>
      </w:pPr>
      <w:rPr>
        <w:rFonts w:cs="Times New Roman"/>
      </w:rPr>
    </w:lvl>
    <w:lvl w:ilvl="6" w:tplc="0407000F" w:tentative="1">
      <w:start w:val="1"/>
      <w:numFmt w:val="decimal"/>
      <w:lvlText w:val="%7."/>
      <w:lvlJc w:val="left"/>
      <w:pPr>
        <w:ind w:left="5385" w:hanging="360"/>
      </w:pPr>
      <w:rPr>
        <w:rFonts w:cs="Times New Roman"/>
      </w:rPr>
    </w:lvl>
    <w:lvl w:ilvl="7" w:tplc="04070019" w:tentative="1">
      <w:start w:val="1"/>
      <w:numFmt w:val="lowerLetter"/>
      <w:lvlText w:val="%8."/>
      <w:lvlJc w:val="left"/>
      <w:pPr>
        <w:ind w:left="6105" w:hanging="360"/>
      </w:pPr>
      <w:rPr>
        <w:rFonts w:cs="Times New Roman"/>
      </w:rPr>
    </w:lvl>
    <w:lvl w:ilvl="8" w:tplc="0407001B" w:tentative="1">
      <w:start w:val="1"/>
      <w:numFmt w:val="lowerRoman"/>
      <w:lvlText w:val="%9."/>
      <w:lvlJc w:val="right"/>
      <w:pPr>
        <w:ind w:left="6825" w:hanging="180"/>
      </w:pPr>
      <w:rPr>
        <w:rFonts w:cs="Times New Roman"/>
      </w:rPr>
    </w:lvl>
  </w:abstractNum>
  <w:abstractNum w:abstractNumId="11">
    <w:nsid w:val="08AF5986"/>
    <w:multiLevelType w:val="hybridMultilevel"/>
    <w:tmpl w:val="4D30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966FE5"/>
    <w:multiLevelType w:val="multilevel"/>
    <w:tmpl w:val="C09EF2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133735F"/>
    <w:multiLevelType w:val="hybridMultilevel"/>
    <w:tmpl w:val="C09EF20C"/>
    <w:lvl w:ilvl="0" w:tplc="C0E8169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27D056D"/>
    <w:multiLevelType w:val="hybridMultilevel"/>
    <w:tmpl w:val="D0644B5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21C4816"/>
    <w:multiLevelType w:val="hybridMultilevel"/>
    <w:tmpl w:val="4DA40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972D7A"/>
    <w:multiLevelType w:val="hybridMultilevel"/>
    <w:tmpl w:val="950ECBD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27F4651D"/>
    <w:multiLevelType w:val="hybridMultilevel"/>
    <w:tmpl w:val="48FA19B6"/>
    <w:lvl w:ilvl="0" w:tplc="F1BE8AFC">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A77449D"/>
    <w:multiLevelType w:val="hybridMultilevel"/>
    <w:tmpl w:val="DA627F70"/>
    <w:lvl w:ilvl="0" w:tplc="04060019">
      <w:start w:val="1"/>
      <w:numFmt w:val="lowerLetter"/>
      <w:lvlText w:val="%1."/>
      <w:lvlJc w:val="left"/>
      <w:pPr>
        <w:ind w:left="720" w:hanging="360"/>
      </w:pPr>
      <w:rPr>
        <w:rFonts w:cs="Times New Roman"/>
      </w:rPr>
    </w:lvl>
    <w:lvl w:ilvl="1" w:tplc="04130019" w:tentative="1">
      <w:start w:val="1"/>
      <w:numFmt w:val="lowerLetter"/>
      <w:lvlText w:val="%2."/>
      <w:lvlJc w:val="left"/>
      <w:pPr>
        <w:tabs>
          <w:tab w:val="num" w:pos="720"/>
        </w:tabs>
        <w:ind w:left="720" w:hanging="360"/>
      </w:pPr>
      <w:rPr>
        <w:rFonts w:cs="Times New Roman"/>
      </w:rPr>
    </w:lvl>
    <w:lvl w:ilvl="2" w:tplc="0413001B" w:tentative="1">
      <w:start w:val="1"/>
      <w:numFmt w:val="lowerRoman"/>
      <w:lvlText w:val="%3."/>
      <w:lvlJc w:val="right"/>
      <w:pPr>
        <w:tabs>
          <w:tab w:val="num" w:pos="1440"/>
        </w:tabs>
        <w:ind w:left="1440" w:hanging="180"/>
      </w:pPr>
      <w:rPr>
        <w:rFonts w:cs="Times New Roman"/>
      </w:rPr>
    </w:lvl>
    <w:lvl w:ilvl="3" w:tplc="0413000F" w:tentative="1">
      <w:start w:val="1"/>
      <w:numFmt w:val="decimal"/>
      <w:lvlText w:val="%4."/>
      <w:lvlJc w:val="left"/>
      <w:pPr>
        <w:tabs>
          <w:tab w:val="num" w:pos="2160"/>
        </w:tabs>
        <w:ind w:left="2160" w:hanging="360"/>
      </w:pPr>
      <w:rPr>
        <w:rFonts w:cs="Times New Roman"/>
      </w:rPr>
    </w:lvl>
    <w:lvl w:ilvl="4" w:tplc="04130019" w:tentative="1">
      <w:start w:val="1"/>
      <w:numFmt w:val="lowerLetter"/>
      <w:lvlText w:val="%5."/>
      <w:lvlJc w:val="left"/>
      <w:pPr>
        <w:tabs>
          <w:tab w:val="num" w:pos="2880"/>
        </w:tabs>
        <w:ind w:left="2880" w:hanging="360"/>
      </w:pPr>
      <w:rPr>
        <w:rFonts w:cs="Times New Roman"/>
      </w:rPr>
    </w:lvl>
    <w:lvl w:ilvl="5" w:tplc="0413001B" w:tentative="1">
      <w:start w:val="1"/>
      <w:numFmt w:val="lowerRoman"/>
      <w:lvlText w:val="%6."/>
      <w:lvlJc w:val="right"/>
      <w:pPr>
        <w:tabs>
          <w:tab w:val="num" w:pos="3600"/>
        </w:tabs>
        <w:ind w:left="3600" w:hanging="180"/>
      </w:pPr>
      <w:rPr>
        <w:rFonts w:cs="Times New Roman"/>
      </w:rPr>
    </w:lvl>
    <w:lvl w:ilvl="6" w:tplc="0413000F" w:tentative="1">
      <w:start w:val="1"/>
      <w:numFmt w:val="decimal"/>
      <w:lvlText w:val="%7."/>
      <w:lvlJc w:val="left"/>
      <w:pPr>
        <w:tabs>
          <w:tab w:val="num" w:pos="4320"/>
        </w:tabs>
        <w:ind w:left="4320" w:hanging="360"/>
      </w:pPr>
      <w:rPr>
        <w:rFonts w:cs="Times New Roman"/>
      </w:rPr>
    </w:lvl>
    <w:lvl w:ilvl="7" w:tplc="04130019" w:tentative="1">
      <w:start w:val="1"/>
      <w:numFmt w:val="lowerLetter"/>
      <w:lvlText w:val="%8."/>
      <w:lvlJc w:val="left"/>
      <w:pPr>
        <w:tabs>
          <w:tab w:val="num" w:pos="5040"/>
        </w:tabs>
        <w:ind w:left="5040" w:hanging="360"/>
      </w:pPr>
      <w:rPr>
        <w:rFonts w:cs="Times New Roman"/>
      </w:rPr>
    </w:lvl>
    <w:lvl w:ilvl="8" w:tplc="0413001B" w:tentative="1">
      <w:start w:val="1"/>
      <w:numFmt w:val="lowerRoman"/>
      <w:lvlText w:val="%9."/>
      <w:lvlJc w:val="right"/>
      <w:pPr>
        <w:tabs>
          <w:tab w:val="num" w:pos="5760"/>
        </w:tabs>
        <w:ind w:left="5760" w:hanging="180"/>
      </w:pPr>
      <w:rPr>
        <w:rFonts w:cs="Times New Roman"/>
      </w:rPr>
    </w:lvl>
  </w:abstractNum>
  <w:abstractNum w:abstractNumId="19">
    <w:nsid w:val="35816579"/>
    <w:multiLevelType w:val="hybridMultilevel"/>
    <w:tmpl w:val="33D27C6E"/>
    <w:lvl w:ilvl="0" w:tplc="E01E9394">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368E241D"/>
    <w:multiLevelType w:val="multilevel"/>
    <w:tmpl w:val="5A50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97A6D"/>
    <w:multiLevelType w:val="hybridMultilevel"/>
    <w:tmpl w:val="6E2E68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39262B5E"/>
    <w:multiLevelType w:val="hybridMultilevel"/>
    <w:tmpl w:val="067A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521650"/>
    <w:multiLevelType w:val="multilevel"/>
    <w:tmpl w:val="C3D08D0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3D2E3EE7"/>
    <w:multiLevelType w:val="hybridMultilevel"/>
    <w:tmpl w:val="C3D08D02"/>
    <w:lvl w:ilvl="0" w:tplc="04060017">
      <w:start w:val="1"/>
      <w:numFmt w:val="lowerLetter"/>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5">
    <w:nsid w:val="411D42F1"/>
    <w:multiLevelType w:val="hybridMultilevel"/>
    <w:tmpl w:val="B7C2293C"/>
    <w:lvl w:ilvl="0" w:tplc="C91A60BE">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06299C"/>
    <w:multiLevelType w:val="hybridMultilevel"/>
    <w:tmpl w:val="654C93C0"/>
    <w:lvl w:ilvl="0" w:tplc="D2602A8A">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7">
    <w:nsid w:val="4A59722A"/>
    <w:multiLevelType w:val="hybridMultilevel"/>
    <w:tmpl w:val="E9EED1EE"/>
    <w:lvl w:ilvl="0" w:tplc="0413000F">
      <w:start w:val="1"/>
      <w:numFmt w:val="decimal"/>
      <w:lvlText w:val="%1."/>
      <w:lvlJc w:val="left"/>
      <w:pPr>
        <w:tabs>
          <w:tab w:val="num" w:pos="1080"/>
        </w:tabs>
        <w:ind w:left="1080" w:hanging="360"/>
      </w:pPr>
      <w:rPr>
        <w:rFonts w:cs="Times New Roman"/>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8">
    <w:nsid w:val="4A777D1E"/>
    <w:multiLevelType w:val="hybridMultilevel"/>
    <w:tmpl w:val="77A0D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9551F9"/>
    <w:multiLevelType w:val="hybridMultilevel"/>
    <w:tmpl w:val="03A2D2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4E0143F6"/>
    <w:multiLevelType w:val="hybridMultilevel"/>
    <w:tmpl w:val="C84EDBDA"/>
    <w:lvl w:ilvl="0" w:tplc="621074C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3D2486"/>
    <w:multiLevelType w:val="hybridMultilevel"/>
    <w:tmpl w:val="D58A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8446EA"/>
    <w:multiLevelType w:val="hybridMultilevel"/>
    <w:tmpl w:val="9C5054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33">
    <w:nsid w:val="5E7D3C64"/>
    <w:multiLevelType w:val="hybridMultilevel"/>
    <w:tmpl w:val="136EC8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68E3218"/>
    <w:multiLevelType w:val="hybridMultilevel"/>
    <w:tmpl w:val="EB8E51F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93E3595"/>
    <w:multiLevelType w:val="hybridMultilevel"/>
    <w:tmpl w:val="BFE6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D703B5"/>
    <w:multiLevelType w:val="hybridMultilevel"/>
    <w:tmpl w:val="5610FF94"/>
    <w:lvl w:ilvl="0" w:tplc="EB4664B2">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6DA472A4"/>
    <w:multiLevelType w:val="hybridMultilevel"/>
    <w:tmpl w:val="F8707C2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1B443C9"/>
    <w:multiLevelType w:val="hybridMultilevel"/>
    <w:tmpl w:val="77242C7A"/>
    <w:lvl w:ilvl="0" w:tplc="04130001">
      <w:start w:val="1"/>
      <w:numFmt w:val="bullet"/>
      <w:lvlText w:val=""/>
      <w:lvlJc w:val="left"/>
      <w:pPr>
        <w:tabs>
          <w:tab w:val="num" w:pos="720"/>
        </w:tabs>
        <w:ind w:left="720" w:hanging="360"/>
      </w:pPr>
      <w:rPr>
        <w:rFonts w:ascii="Symbol" w:hAnsi="Symbol" w:hint="default"/>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9">
    <w:nsid w:val="736A7EE7"/>
    <w:multiLevelType w:val="hybridMultilevel"/>
    <w:tmpl w:val="4ED80D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76E4622D"/>
    <w:multiLevelType w:val="hybridMultilevel"/>
    <w:tmpl w:val="B4DCE57A"/>
    <w:lvl w:ilvl="0" w:tplc="C5F0368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776416C"/>
    <w:multiLevelType w:val="hybridMultilevel"/>
    <w:tmpl w:val="0D7C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DD04AD"/>
    <w:multiLevelType w:val="hybridMultilevel"/>
    <w:tmpl w:val="6554B720"/>
    <w:lvl w:ilvl="0" w:tplc="61EC17E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3">
    <w:nsid w:val="7E416064"/>
    <w:multiLevelType w:val="hybridMultilevel"/>
    <w:tmpl w:val="4B542344"/>
    <w:lvl w:ilvl="0" w:tplc="04060019">
      <w:start w:val="1"/>
      <w:numFmt w:val="lowerLetter"/>
      <w:lvlText w:val="%1."/>
      <w:lvlJc w:val="left"/>
      <w:pPr>
        <w:ind w:left="144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42"/>
  </w:num>
  <w:num w:numId="4">
    <w:abstractNumId w:val="43"/>
  </w:num>
  <w:num w:numId="5">
    <w:abstractNumId w:val="10"/>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7"/>
  </w:num>
  <w:num w:numId="12">
    <w:abstractNumId w:val="33"/>
  </w:num>
  <w:num w:numId="13">
    <w:abstractNumId w:val="23"/>
  </w:num>
  <w:num w:numId="14">
    <w:abstractNumId w:val="18"/>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9"/>
  </w:num>
  <w:num w:numId="27">
    <w:abstractNumId w:val="29"/>
  </w:num>
  <w:num w:numId="28">
    <w:abstractNumId w:val="22"/>
  </w:num>
  <w:num w:numId="29">
    <w:abstractNumId w:val="41"/>
  </w:num>
  <w:num w:numId="30">
    <w:abstractNumId w:val="28"/>
  </w:num>
  <w:num w:numId="31">
    <w:abstractNumId w:val="31"/>
  </w:num>
  <w:num w:numId="32">
    <w:abstractNumId w:val="37"/>
  </w:num>
  <w:num w:numId="33">
    <w:abstractNumId w:val="15"/>
  </w:num>
  <w:num w:numId="34">
    <w:abstractNumId w:val="21"/>
  </w:num>
  <w:num w:numId="35">
    <w:abstractNumId w:val="14"/>
  </w:num>
  <w:num w:numId="36">
    <w:abstractNumId w:val="17"/>
  </w:num>
  <w:num w:numId="37">
    <w:abstractNumId w:val="26"/>
  </w:num>
  <w:num w:numId="38">
    <w:abstractNumId w:val="35"/>
  </w:num>
  <w:num w:numId="39">
    <w:abstractNumId w:val="11"/>
  </w:num>
  <w:num w:numId="40">
    <w:abstractNumId w:val="30"/>
  </w:num>
  <w:num w:numId="41">
    <w:abstractNumId w:val="40"/>
  </w:num>
  <w:num w:numId="42">
    <w:abstractNumId w:val="13"/>
  </w:num>
  <w:num w:numId="43">
    <w:abstractNumId w:val="12"/>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EB2"/>
    <w:rsid w:val="000042C6"/>
    <w:rsid w:val="00014BE7"/>
    <w:rsid w:val="00027FBF"/>
    <w:rsid w:val="000315DB"/>
    <w:rsid w:val="00035D75"/>
    <w:rsid w:val="0004137D"/>
    <w:rsid w:val="00056704"/>
    <w:rsid w:val="000667AB"/>
    <w:rsid w:val="00067C4F"/>
    <w:rsid w:val="0007388E"/>
    <w:rsid w:val="000829F1"/>
    <w:rsid w:val="00082C4D"/>
    <w:rsid w:val="000859F7"/>
    <w:rsid w:val="00093C0A"/>
    <w:rsid w:val="000A0AD0"/>
    <w:rsid w:val="000B1965"/>
    <w:rsid w:val="000B493B"/>
    <w:rsid w:val="000B5F63"/>
    <w:rsid w:val="000B6E4B"/>
    <w:rsid w:val="000C2BA6"/>
    <w:rsid w:val="000C2EFD"/>
    <w:rsid w:val="000D40FB"/>
    <w:rsid w:val="000D4571"/>
    <w:rsid w:val="000E08EB"/>
    <w:rsid w:val="000F0673"/>
    <w:rsid w:val="000F4B39"/>
    <w:rsid w:val="001101A6"/>
    <w:rsid w:val="00112E64"/>
    <w:rsid w:val="00121CD9"/>
    <w:rsid w:val="00123071"/>
    <w:rsid w:val="00133EE7"/>
    <w:rsid w:val="00140570"/>
    <w:rsid w:val="001408B4"/>
    <w:rsid w:val="00152B68"/>
    <w:rsid w:val="00164C42"/>
    <w:rsid w:val="0017082D"/>
    <w:rsid w:val="001709E8"/>
    <w:rsid w:val="00171D9D"/>
    <w:rsid w:val="00172A20"/>
    <w:rsid w:val="00174515"/>
    <w:rsid w:val="00175EED"/>
    <w:rsid w:val="00183AD1"/>
    <w:rsid w:val="001A26F3"/>
    <w:rsid w:val="001A2BC0"/>
    <w:rsid w:val="001A54F4"/>
    <w:rsid w:val="001B412D"/>
    <w:rsid w:val="001C244C"/>
    <w:rsid w:val="001E014C"/>
    <w:rsid w:val="001E3A2B"/>
    <w:rsid w:val="001F1590"/>
    <w:rsid w:val="00202309"/>
    <w:rsid w:val="0020274B"/>
    <w:rsid w:val="0020541E"/>
    <w:rsid w:val="00211520"/>
    <w:rsid w:val="00211FFF"/>
    <w:rsid w:val="0021433B"/>
    <w:rsid w:val="00220347"/>
    <w:rsid w:val="002308FC"/>
    <w:rsid w:val="002351BA"/>
    <w:rsid w:val="00235446"/>
    <w:rsid w:val="00235BCA"/>
    <w:rsid w:val="002368E0"/>
    <w:rsid w:val="00253641"/>
    <w:rsid w:val="002562A0"/>
    <w:rsid w:val="0026669A"/>
    <w:rsid w:val="00272D0B"/>
    <w:rsid w:val="00272E9F"/>
    <w:rsid w:val="00274FEB"/>
    <w:rsid w:val="00281555"/>
    <w:rsid w:val="0029168B"/>
    <w:rsid w:val="002A2818"/>
    <w:rsid w:val="002A447B"/>
    <w:rsid w:val="002D4586"/>
    <w:rsid w:val="002E13C5"/>
    <w:rsid w:val="002E1558"/>
    <w:rsid w:val="002F559B"/>
    <w:rsid w:val="002F7EEC"/>
    <w:rsid w:val="003101ED"/>
    <w:rsid w:val="00310489"/>
    <w:rsid w:val="00315801"/>
    <w:rsid w:val="00322828"/>
    <w:rsid w:val="00344113"/>
    <w:rsid w:val="00356490"/>
    <w:rsid w:val="00376972"/>
    <w:rsid w:val="003873CC"/>
    <w:rsid w:val="003910C1"/>
    <w:rsid w:val="0039226D"/>
    <w:rsid w:val="00393710"/>
    <w:rsid w:val="00396D8B"/>
    <w:rsid w:val="003A14F9"/>
    <w:rsid w:val="003A544B"/>
    <w:rsid w:val="003A6D53"/>
    <w:rsid w:val="003A7AA6"/>
    <w:rsid w:val="003B0D9D"/>
    <w:rsid w:val="003C2A22"/>
    <w:rsid w:val="003D6386"/>
    <w:rsid w:val="003E336E"/>
    <w:rsid w:val="003E7AD0"/>
    <w:rsid w:val="003F2EA2"/>
    <w:rsid w:val="003F419C"/>
    <w:rsid w:val="003F5B46"/>
    <w:rsid w:val="004004F9"/>
    <w:rsid w:val="00407058"/>
    <w:rsid w:val="0041059A"/>
    <w:rsid w:val="004154E6"/>
    <w:rsid w:val="004211BA"/>
    <w:rsid w:val="0043320B"/>
    <w:rsid w:val="004350B6"/>
    <w:rsid w:val="00437C62"/>
    <w:rsid w:val="00444486"/>
    <w:rsid w:val="00463F52"/>
    <w:rsid w:val="004714CF"/>
    <w:rsid w:val="00486588"/>
    <w:rsid w:val="004A0A97"/>
    <w:rsid w:val="004A552D"/>
    <w:rsid w:val="004B509C"/>
    <w:rsid w:val="004B5AB3"/>
    <w:rsid w:val="004C0C45"/>
    <w:rsid w:val="004C5513"/>
    <w:rsid w:val="004C6C00"/>
    <w:rsid w:val="004D77F0"/>
    <w:rsid w:val="004E17C1"/>
    <w:rsid w:val="004E289F"/>
    <w:rsid w:val="004E42E2"/>
    <w:rsid w:val="004F7DBE"/>
    <w:rsid w:val="00511961"/>
    <w:rsid w:val="00523B2D"/>
    <w:rsid w:val="0052594A"/>
    <w:rsid w:val="00532065"/>
    <w:rsid w:val="005343AD"/>
    <w:rsid w:val="00535CBC"/>
    <w:rsid w:val="00536315"/>
    <w:rsid w:val="00541F80"/>
    <w:rsid w:val="00545BE1"/>
    <w:rsid w:val="00554499"/>
    <w:rsid w:val="005565A5"/>
    <w:rsid w:val="00574E23"/>
    <w:rsid w:val="0058351B"/>
    <w:rsid w:val="00594462"/>
    <w:rsid w:val="005B15DD"/>
    <w:rsid w:val="005C2CB3"/>
    <w:rsid w:val="005C497E"/>
    <w:rsid w:val="005D0230"/>
    <w:rsid w:val="005D05E3"/>
    <w:rsid w:val="005D0617"/>
    <w:rsid w:val="005D4733"/>
    <w:rsid w:val="005D55D2"/>
    <w:rsid w:val="005E237C"/>
    <w:rsid w:val="005E2A37"/>
    <w:rsid w:val="005E2AF4"/>
    <w:rsid w:val="005F13E9"/>
    <w:rsid w:val="005F1D47"/>
    <w:rsid w:val="005F4801"/>
    <w:rsid w:val="00601BE6"/>
    <w:rsid w:val="00603BA8"/>
    <w:rsid w:val="006116B3"/>
    <w:rsid w:val="00626EEB"/>
    <w:rsid w:val="00631C7F"/>
    <w:rsid w:val="00636C99"/>
    <w:rsid w:val="00637BFE"/>
    <w:rsid w:val="00642BAB"/>
    <w:rsid w:val="00651F37"/>
    <w:rsid w:val="00653C91"/>
    <w:rsid w:val="0065414F"/>
    <w:rsid w:val="0066090B"/>
    <w:rsid w:val="00662ADE"/>
    <w:rsid w:val="006719A9"/>
    <w:rsid w:val="00673187"/>
    <w:rsid w:val="00694773"/>
    <w:rsid w:val="00694BD0"/>
    <w:rsid w:val="0069712E"/>
    <w:rsid w:val="006A69AF"/>
    <w:rsid w:val="006B2F7C"/>
    <w:rsid w:val="006B4E60"/>
    <w:rsid w:val="006D68DB"/>
    <w:rsid w:val="006D76C0"/>
    <w:rsid w:val="006E23E9"/>
    <w:rsid w:val="006E2DE4"/>
    <w:rsid w:val="006F277C"/>
    <w:rsid w:val="006F3AA9"/>
    <w:rsid w:val="006F55A1"/>
    <w:rsid w:val="00706002"/>
    <w:rsid w:val="0071010D"/>
    <w:rsid w:val="00710568"/>
    <w:rsid w:val="00727637"/>
    <w:rsid w:val="00727D9F"/>
    <w:rsid w:val="00746F50"/>
    <w:rsid w:val="00752CF2"/>
    <w:rsid w:val="0076697B"/>
    <w:rsid w:val="007700F3"/>
    <w:rsid w:val="00772B07"/>
    <w:rsid w:val="00781893"/>
    <w:rsid w:val="00792653"/>
    <w:rsid w:val="007B1E94"/>
    <w:rsid w:val="007B3B32"/>
    <w:rsid w:val="007B5F92"/>
    <w:rsid w:val="007C37F1"/>
    <w:rsid w:val="007D78F3"/>
    <w:rsid w:val="007F2239"/>
    <w:rsid w:val="007F31F3"/>
    <w:rsid w:val="007F60FF"/>
    <w:rsid w:val="008019D1"/>
    <w:rsid w:val="00801A89"/>
    <w:rsid w:val="00804154"/>
    <w:rsid w:val="008137B6"/>
    <w:rsid w:val="00821E3F"/>
    <w:rsid w:val="008230EB"/>
    <w:rsid w:val="00825B18"/>
    <w:rsid w:val="00832699"/>
    <w:rsid w:val="008359EB"/>
    <w:rsid w:val="008472E1"/>
    <w:rsid w:val="008532A6"/>
    <w:rsid w:val="00863E33"/>
    <w:rsid w:val="00870F40"/>
    <w:rsid w:val="0087187D"/>
    <w:rsid w:val="00890E26"/>
    <w:rsid w:val="0089338A"/>
    <w:rsid w:val="008B229D"/>
    <w:rsid w:val="008B50B7"/>
    <w:rsid w:val="008B56E9"/>
    <w:rsid w:val="008C3B38"/>
    <w:rsid w:val="008D2765"/>
    <w:rsid w:val="008D3219"/>
    <w:rsid w:val="008D685E"/>
    <w:rsid w:val="008E1917"/>
    <w:rsid w:val="008E7DD8"/>
    <w:rsid w:val="008F3AF8"/>
    <w:rsid w:val="008F3DA2"/>
    <w:rsid w:val="008F65EE"/>
    <w:rsid w:val="00905738"/>
    <w:rsid w:val="00923E55"/>
    <w:rsid w:val="00932B10"/>
    <w:rsid w:val="00934888"/>
    <w:rsid w:val="00937009"/>
    <w:rsid w:val="009521BA"/>
    <w:rsid w:val="0095409D"/>
    <w:rsid w:val="0095499F"/>
    <w:rsid w:val="00961400"/>
    <w:rsid w:val="009640B8"/>
    <w:rsid w:val="00975192"/>
    <w:rsid w:val="00975FFB"/>
    <w:rsid w:val="00980FE5"/>
    <w:rsid w:val="00985B0F"/>
    <w:rsid w:val="00990492"/>
    <w:rsid w:val="009924C0"/>
    <w:rsid w:val="009A1D8B"/>
    <w:rsid w:val="009A79DF"/>
    <w:rsid w:val="009B2C2B"/>
    <w:rsid w:val="009B5E02"/>
    <w:rsid w:val="009C2C40"/>
    <w:rsid w:val="009C4658"/>
    <w:rsid w:val="009D1728"/>
    <w:rsid w:val="009F1534"/>
    <w:rsid w:val="009F6266"/>
    <w:rsid w:val="00A12EBB"/>
    <w:rsid w:val="00A17559"/>
    <w:rsid w:val="00A27780"/>
    <w:rsid w:val="00A35992"/>
    <w:rsid w:val="00A50792"/>
    <w:rsid w:val="00A567A2"/>
    <w:rsid w:val="00A6528F"/>
    <w:rsid w:val="00A7247B"/>
    <w:rsid w:val="00A77582"/>
    <w:rsid w:val="00A820CE"/>
    <w:rsid w:val="00A84978"/>
    <w:rsid w:val="00A8682D"/>
    <w:rsid w:val="00A91B11"/>
    <w:rsid w:val="00AB0FEB"/>
    <w:rsid w:val="00AB306C"/>
    <w:rsid w:val="00AC0D0B"/>
    <w:rsid w:val="00AD5C77"/>
    <w:rsid w:val="00AD79C8"/>
    <w:rsid w:val="00AE3536"/>
    <w:rsid w:val="00AE419D"/>
    <w:rsid w:val="00AF14AE"/>
    <w:rsid w:val="00AF4BE4"/>
    <w:rsid w:val="00AF612B"/>
    <w:rsid w:val="00B0316B"/>
    <w:rsid w:val="00B23DC0"/>
    <w:rsid w:val="00B24103"/>
    <w:rsid w:val="00B24D5C"/>
    <w:rsid w:val="00B35B5D"/>
    <w:rsid w:val="00B37309"/>
    <w:rsid w:val="00B43931"/>
    <w:rsid w:val="00B45B2D"/>
    <w:rsid w:val="00B5239F"/>
    <w:rsid w:val="00B52AFD"/>
    <w:rsid w:val="00B54119"/>
    <w:rsid w:val="00B5683E"/>
    <w:rsid w:val="00B643F0"/>
    <w:rsid w:val="00B669C8"/>
    <w:rsid w:val="00B827DA"/>
    <w:rsid w:val="00B92E15"/>
    <w:rsid w:val="00B94BE6"/>
    <w:rsid w:val="00B94E9C"/>
    <w:rsid w:val="00BA2B9D"/>
    <w:rsid w:val="00BA5203"/>
    <w:rsid w:val="00BA5CB6"/>
    <w:rsid w:val="00BB5C04"/>
    <w:rsid w:val="00BC5DEB"/>
    <w:rsid w:val="00BD0453"/>
    <w:rsid w:val="00BD5EB2"/>
    <w:rsid w:val="00BD62A4"/>
    <w:rsid w:val="00BE4025"/>
    <w:rsid w:val="00BF4F32"/>
    <w:rsid w:val="00C062D3"/>
    <w:rsid w:val="00C17CA0"/>
    <w:rsid w:val="00C24A6C"/>
    <w:rsid w:val="00C31C40"/>
    <w:rsid w:val="00C334D9"/>
    <w:rsid w:val="00C3403F"/>
    <w:rsid w:val="00C46E31"/>
    <w:rsid w:val="00C55758"/>
    <w:rsid w:val="00C60CBA"/>
    <w:rsid w:val="00C61B1D"/>
    <w:rsid w:val="00C63555"/>
    <w:rsid w:val="00C66DCF"/>
    <w:rsid w:val="00C7707A"/>
    <w:rsid w:val="00C77345"/>
    <w:rsid w:val="00C85105"/>
    <w:rsid w:val="00C957FF"/>
    <w:rsid w:val="00C96655"/>
    <w:rsid w:val="00CA63EF"/>
    <w:rsid w:val="00CB3753"/>
    <w:rsid w:val="00CB412E"/>
    <w:rsid w:val="00CC518B"/>
    <w:rsid w:val="00CD2FB0"/>
    <w:rsid w:val="00CD67E2"/>
    <w:rsid w:val="00CE0CDD"/>
    <w:rsid w:val="00CE7D4F"/>
    <w:rsid w:val="00CF0A3F"/>
    <w:rsid w:val="00CF21A4"/>
    <w:rsid w:val="00CF3623"/>
    <w:rsid w:val="00CF6AB1"/>
    <w:rsid w:val="00D16A6E"/>
    <w:rsid w:val="00D17E89"/>
    <w:rsid w:val="00D20418"/>
    <w:rsid w:val="00D2796B"/>
    <w:rsid w:val="00D300C5"/>
    <w:rsid w:val="00D339C7"/>
    <w:rsid w:val="00D34608"/>
    <w:rsid w:val="00D34DD5"/>
    <w:rsid w:val="00D42C2D"/>
    <w:rsid w:val="00D44FB5"/>
    <w:rsid w:val="00D47AA8"/>
    <w:rsid w:val="00D6350A"/>
    <w:rsid w:val="00D64B80"/>
    <w:rsid w:val="00D65765"/>
    <w:rsid w:val="00D7024E"/>
    <w:rsid w:val="00D8071F"/>
    <w:rsid w:val="00D907C2"/>
    <w:rsid w:val="00D90B1A"/>
    <w:rsid w:val="00D91873"/>
    <w:rsid w:val="00D93509"/>
    <w:rsid w:val="00D955C7"/>
    <w:rsid w:val="00DA1106"/>
    <w:rsid w:val="00DA35C5"/>
    <w:rsid w:val="00DA5ECE"/>
    <w:rsid w:val="00DA6729"/>
    <w:rsid w:val="00DB2E56"/>
    <w:rsid w:val="00DC3340"/>
    <w:rsid w:val="00DC4B83"/>
    <w:rsid w:val="00DD4A25"/>
    <w:rsid w:val="00E00D22"/>
    <w:rsid w:val="00E01F1B"/>
    <w:rsid w:val="00E0339A"/>
    <w:rsid w:val="00E13A76"/>
    <w:rsid w:val="00E31FC1"/>
    <w:rsid w:val="00E339D5"/>
    <w:rsid w:val="00E56A3E"/>
    <w:rsid w:val="00E661F0"/>
    <w:rsid w:val="00E705E7"/>
    <w:rsid w:val="00E74F7E"/>
    <w:rsid w:val="00E821B4"/>
    <w:rsid w:val="00E82FB7"/>
    <w:rsid w:val="00E84E37"/>
    <w:rsid w:val="00E86B6C"/>
    <w:rsid w:val="00EC13A6"/>
    <w:rsid w:val="00EC6259"/>
    <w:rsid w:val="00EE008C"/>
    <w:rsid w:val="00EF3623"/>
    <w:rsid w:val="00F014C9"/>
    <w:rsid w:val="00F14ED4"/>
    <w:rsid w:val="00F15782"/>
    <w:rsid w:val="00F17107"/>
    <w:rsid w:val="00F23378"/>
    <w:rsid w:val="00F2340A"/>
    <w:rsid w:val="00F305ED"/>
    <w:rsid w:val="00F312C4"/>
    <w:rsid w:val="00F466B0"/>
    <w:rsid w:val="00F47DA4"/>
    <w:rsid w:val="00F60822"/>
    <w:rsid w:val="00F63344"/>
    <w:rsid w:val="00F74453"/>
    <w:rsid w:val="00F7727C"/>
    <w:rsid w:val="00F83BF9"/>
    <w:rsid w:val="00FA7540"/>
    <w:rsid w:val="00FB35C1"/>
    <w:rsid w:val="00FC0457"/>
    <w:rsid w:val="00FD1299"/>
    <w:rsid w:val="00FD7A46"/>
    <w:rsid w:val="00FE507F"/>
    <w:rsid w:val="00FF5D2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1A"/>
    <w:pPr>
      <w:spacing w:after="200" w:line="276" w:lineRule="auto"/>
    </w:pPr>
    <w:rPr>
      <w:lang w:val="de-DE"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D5EB2"/>
    <w:pPr>
      <w:spacing w:after="0" w:line="240" w:lineRule="auto"/>
    </w:pPr>
    <w:rPr>
      <w:rFonts w:ascii="Arial" w:hAnsi="Arial" w:cs="Times New Roman"/>
      <w:color w:val="000000"/>
      <w:sz w:val="18"/>
      <w:szCs w:val="18"/>
      <w:lang w:val="en-US" w:eastAsia="en-US"/>
    </w:rPr>
  </w:style>
  <w:style w:type="character" w:customStyle="1" w:styleId="PlainTextChar">
    <w:name w:val="Plain Text Char"/>
    <w:basedOn w:val="DefaultParagraphFont"/>
    <w:link w:val="PlainText"/>
    <w:uiPriority w:val="99"/>
    <w:locked/>
    <w:rsid w:val="00BD5EB2"/>
    <w:rPr>
      <w:rFonts w:ascii="Arial" w:hAnsi="Arial" w:cs="Times New Roman"/>
      <w:color w:val="000000"/>
      <w:sz w:val="18"/>
    </w:rPr>
  </w:style>
  <w:style w:type="paragraph" w:customStyle="1" w:styleId="Listenabsatz1">
    <w:name w:val="Listenabsatz1"/>
    <w:basedOn w:val="Normal"/>
    <w:uiPriority w:val="99"/>
    <w:rsid w:val="00BD5EB2"/>
    <w:pPr>
      <w:spacing w:after="0" w:line="280" w:lineRule="atLeast"/>
      <w:ind w:left="720"/>
    </w:pPr>
    <w:rPr>
      <w:rFonts w:ascii="Arial" w:hAnsi="Arial"/>
      <w:sz w:val="20"/>
      <w:szCs w:val="20"/>
    </w:rPr>
  </w:style>
  <w:style w:type="paragraph" w:styleId="BalloonText">
    <w:name w:val="Balloon Text"/>
    <w:basedOn w:val="Normal"/>
    <w:link w:val="BalloonTextChar"/>
    <w:uiPriority w:val="99"/>
    <w:semiHidden/>
    <w:rsid w:val="00E0339A"/>
    <w:pPr>
      <w:spacing w:after="0" w:line="240" w:lineRule="auto"/>
    </w:pPr>
    <w:rPr>
      <w:rFonts w:ascii="Tahoma" w:hAnsi="Tahoma" w:cs="Times New Roman"/>
      <w:sz w:val="16"/>
      <w:szCs w:val="16"/>
      <w:lang w:val="en-US" w:eastAsia="en-US"/>
    </w:rPr>
  </w:style>
  <w:style w:type="character" w:customStyle="1" w:styleId="BalloonTextChar">
    <w:name w:val="Balloon Text Char"/>
    <w:basedOn w:val="DefaultParagraphFont"/>
    <w:link w:val="BalloonText"/>
    <w:uiPriority w:val="99"/>
    <w:semiHidden/>
    <w:locked/>
    <w:rsid w:val="00E0339A"/>
    <w:rPr>
      <w:rFonts w:ascii="Tahoma" w:hAnsi="Tahoma" w:cs="Times New Roman"/>
      <w:sz w:val="16"/>
    </w:rPr>
  </w:style>
  <w:style w:type="paragraph" w:customStyle="1" w:styleId="Default">
    <w:name w:val="Default"/>
    <w:uiPriority w:val="99"/>
    <w:rsid w:val="00152B68"/>
    <w:pPr>
      <w:autoSpaceDE w:val="0"/>
      <w:autoSpaceDN w:val="0"/>
      <w:adjustRightInd w:val="0"/>
    </w:pPr>
    <w:rPr>
      <w:rFonts w:ascii="Arial" w:hAnsi="Arial"/>
      <w:color w:val="000000"/>
      <w:sz w:val="24"/>
      <w:szCs w:val="24"/>
      <w:lang w:val="nl-NL" w:eastAsia="nl-NL"/>
    </w:rPr>
  </w:style>
  <w:style w:type="character" w:styleId="Hyperlink">
    <w:name w:val="Hyperlink"/>
    <w:basedOn w:val="DefaultParagraphFont"/>
    <w:uiPriority w:val="99"/>
    <w:rsid w:val="00653C91"/>
    <w:rPr>
      <w:rFonts w:cs="Times New Roman"/>
      <w:color w:val="0000FF"/>
      <w:u w:val="single"/>
    </w:rPr>
  </w:style>
  <w:style w:type="character" w:styleId="CommentReference">
    <w:name w:val="annotation reference"/>
    <w:basedOn w:val="DefaultParagraphFont"/>
    <w:uiPriority w:val="99"/>
    <w:semiHidden/>
    <w:rsid w:val="003C2A22"/>
    <w:rPr>
      <w:rFonts w:cs="Times New Roman"/>
      <w:sz w:val="16"/>
    </w:rPr>
  </w:style>
  <w:style w:type="paragraph" w:styleId="CommentText">
    <w:name w:val="annotation text"/>
    <w:basedOn w:val="Normal"/>
    <w:link w:val="CommentTextChar"/>
    <w:uiPriority w:val="99"/>
    <w:semiHidden/>
    <w:rsid w:val="003C2A22"/>
    <w:rPr>
      <w:rFonts w:cs="Times New Roman"/>
      <w:sz w:val="20"/>
      <w:szCs w:val="20"/>
    </w:rPr>
  </w:style>
  <w:style w:type="character" w:customStyle="1" w:styleId="CommentTextChar">
    <w:name w:val="Comment Text Char"/>
    <w:basedOn w:val="DefaultParagraphFont"/>
    <w:link w:val="CommentText"/>
    <w:uiPriority w:val="99"/>
    <w:semiHidden/>
    <w:locked/>
    <w:rsid w:val="003C2A22"/>
    <w:rPr>
      <w:rFonts w:cs="Times New Roman"/>
      <w:lang w:val="de-DE" w:eastAsia="zh-CN"/>
    </w:rPr>
  </w:style>
  <w:style w:type="paragraph" w:styleId="CommentSubject">
    <w:name w:val="annotation subject"/>
    <w:basedOn w:val="CommentText"/>
    <w:next w:val="CommentText"/>
    <w:link w:val="CommentSubjectChar"/>
    <w:uiPriority w:val="99"/>
    <w:semiHidden/>
    <w:rsid w:val="003C2A22"/>
    <w:rPr>
      <w:b/>
      <w:bCs/>
    </w:rPr>
  </w:style>
  <w:style w:type="character" w:customStyle="1" w:styleId="CommentSubjectChar">
    <w:name w:val="Comment Subject Char"/>
    <w:basedOn w:val="CommentTextChar"/>
    <w:link w:val="CommentSubject"/>
    <w:uiPriority w:val="99"/>
    <w:semiHidden/>
    <w:locked/>
    <w:rsid w:val="003C2A22"/>
    <w:rPr>
      <w:b/>
    </w:rPr>
  </w:style>
  <w:style w:type="paragraph" w:styleId="ListParagraph">
    <w:name w:val="List Paragraph"/>
    <w:basedOn w:val="Normal"/>
    <w:uiPriority w:val="99"/>
    <w:qFormat/>
    <w:rsid w:val="00E705E7"/>
    <w:pPr>
      <w:ind w:left="708"/>
    </w:pPr>
  </w:style>
  <w:style w:type="paragraph" w:styleId="Revision">
    <w:name w:val="Revision"/>
    <w:hidden/>
    <w:uiPriority w:val="99"/>
    <w:semiHidden/>
    <w:rsid w:val="008019D1"/>
    <w:rPr>
      <w:lang w:val="de-DE" w:eastAsia="zh-CN"/>
    </w:rPr>
  </w:style>
  <w:style w:type="paragraph" w:styleId="FootnoteText">
    <w:name w:val="footnote text"/>
    <w:basedOn w:val="Normal"/>
    <w:link w:val="FootnoteTextChar"/>
    <w:uiPriority w:val="99"/>
    <w:semiHidden/>
    <w:rsid w:val="00A567A2"/>
    <w:rPr>
      <w:sz w:val="20"/>
      <w:szCs w:val="20"/>
    </w:rPr>
  </w:style>
  <w:style w:type="character" w:customStyle="1" w:styleId="FootnoteTextChar">
    <w:name w:val="Footnote Text Char"/>
    <w:basedOn w:val="DefaultParagraphFont"/>
    <w:link w:val="FootnoteText"/>
    <w:uiPriority w:val="99"/>
    <w:semiHidden/>
    <w:locked/>
    <w:rsid w:val="00B24D5C"/>
    <w:rPr>
      <w:rFonts w:cs="Times New Roman"/>
      <w:sz w:val="20"/>
      <w:szCs w:val="20"/>
      <w:lang w:val="de-DE" w:eastAsia="zh-CN"/>
    </w:rPr>
  </w:style>
  <w:style w:type="character" w:styleId="FootnoteReference">
    <w:name w:val="footnote reference"/>
    <w:basedOn w:val="DefaultParagraphFont"/>
    <w:uiPriority w:val="99"/>
    <w:semiHidden/>
    <w:rsid w:val="00A567A2"/>
    <w:rPr>
      <w:rFonts w:cs="Times New Roman"/>
      <w:vertAlign w:val="superscript"/>
    </w:rPr>
  </w:style>
  <w:style w:type="character" w:customStyle="1" w:styleId="CharChar3">
    <w:name w:val="Char Char3"/>
    <w:uiPriority w:val="99"/>
    <w:rsid w:val="004E289F"/>
    <w:rPr>
      <w:rFonts w:ascii="Arial" w:hAnsi="Arial"/>
      <w:color w:val="000000"/>
      <w:sz w:val="18"/>
    </w:rPr>
  </w:style>
  <w:style w:type="paragraph" w:styleId="Header">
    <w:name w:val="header"/>
    <w:basedOn w:val="Normal"/>
    <w:link w:val="HeaderChar"/>
    <w:uiPriority w:val="99"/>
    <w:rsid w:val="001F1590"/>
    <w:pPr>
      <w:tabs>
        <w:tab w:val="center" w:pos="4536"/>
        <w:tab w:val="right" w:pos="9072"/>
      </w:tabs>
    </w:pPr>
  </w:style>
  <w:style w:type="character" w:customStyle="1" w:styleId="HeaderChar">
    <w:name w:val="Header Char"/>
    <w:basedOn w:val="DefaultParagraphFont"/>
    <w:link w:val="Header"/>
    <w:uiPriority w:val="99"/>
    <w:semiHidden/>
    <w:locked/>
    <w:rPr>
      <w:rFonts w:cs="Times New Roman"/>
      <w:lang w:val="de-DE" w:eastAsia="zh-CN"/>
    </w:rPr>
  </w:style>
  <w:style w:type="paragraph" w:styleId="Footer">
    <w:name w:val="footer"/>
    <w:basedOn w:val="Normal"/>
    <w:link w:val="FooterChar"/>
    <w:uiPriority w:val="99"/>
    <w:rsid w:val="001F1590"/>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val="de-DE" w:eastAsia="zh-CN"/>
    </w:rPr>
  </w:style>
  <w:style w:type="character" w:styleId="PageNumber">
    <w:name w:val="page number"/>
    <w:basedOn w:val="DefaultParagraphFont"/>
    <w:uiPriority w:val="99"/>
    <w:rsid w:val="009640B8"/>
    <w:rPr>
      <w:rFonts w:cs="Times New Roman"/>
    </w:rPr>
  </w:style>
</w:styles>
</file>

<file path=word/webSettings.xml><?xml version="1.0" encoding="utf-8"?>
<w:webSettings xmlns:r="http://schemas.openxmlformats.org/officeDocument/2006/relationships" xmlns:w="http://schemas.openxmlformats.org/wordprocessingml/2006/main">
  <w:divs>
    <w:div w:id="57673871">
      <w:marLeft w:val="0"/>
      <w:marRight w:val="0"/>
      <w:marTop w:val="0"/>
      <w:marBottom w:val="0"/>
      <w:divBdr>
        <w:top w:val="none" w:sz="0" w:space="0" w:color="auto"/>
        <w:left w:val="none" w:sz="0" w:space="0" w:color="auto"/>
        <w:bottom w:val="none" w:sz="0" w:space="0" w:color="auto"/>
        <w:right w:val="none" w:sz="0" w:space="0" w:color="auto"/>
      </w:divBdr>
    </w:div>
    <w:div w:id="57673877">
      <w:marLeft w:val="0"/>
      <w:marRight w:val="0"/>
      <w:marTop w:val="0"/>
      <w:marBottom w:val="0"/>
      <w:divBdr>
        <w:top w:val="none" w:sz="0" w:space="0" w:color="auto"/>
        <w:left w:val="none" w:sz="0" w:space="0" w:color="auto"/>
        <w:bottom w:val="none" w:sz="0" w:space="0" w:color="auto"/>
        <w:right w:val="none" w:sz="0" w:space="0" w:color="auto"/>
      </w:divBdr>
    </w:div>
    <w:div w:id="57673886">
      <w:marLeft w:val="0"/>
      <w:marRight w:val="0"/>
      <w:marTop w:val="0"/>
      <w:marBottom w:val="0"/>
      <w:divBdr>
        <w:top w:val="none" w:sz="0" w:space="0" w:color="auto"/>
        <w:left w:val="none" w:sz="0" w:space="0" w:color="auto"/>
        <w:bottom w:val="none" w:sz="0" w:space="0" w:color="auto"/>
        <w:right w:val="none" w:sz="0" w:space="0" w:color="auto"/>
      </w:divBdr>
    </w:div>
    <w:div w:id="57673887">
      <w:marLeft w:val="0"/>
      <w:marRight w:val="0"/>
      <w:marTop w:val="0"/>
      <w:marBottom w:val="0"/>
      <w:divBdr>
        <w:top w:val="none" w:sz="0" w:space="0" w:color="auto"/>
        <w:left w:val="none" w:sz="0" w:space="0" w:color="auto"/>
        <w:bottom w:val="none" w:sz="0" w:space="0" w:color="auto"/>
        <w:right w:val="none" w:sz="0" w:space="0" w:color="auto"/>
      </w:divBdr>
    </w:div>
    <w:div w:id="57673890">
      <w:marLeft w:val="0"/>
      <w:marRight w:val="0"/>
      <w:marTop w:val="0"/>
      <w:marBottom w:val="0"/>
      <w:divBdr>
        <w:top w:val="none" w:sz="0" w:space="0" w:color="auto"/>
        <w:left w:val="none" w:sz="0" w:space="0" w:color="auto"/>
        <w:bottom w:val="none" w:sz="0" w:space="0" w:color="auto"/>
        <w:right w:val="none" w:sz="0" w:space="0" w:color="auto"/>
      </w:divBdr>
    </w:div>
    <w:div w:id="57673891">
      <w:marLeft w:val="0"/>
      <w:marRight w:val="0"/>
      <w:marTop w:val="0"/>
      <w:marBottom w:val="0"/>
      <w:divBdr>
        <w:top w:val="none" w:sz="0" w:space="0" w:color="auto"/>
        <w:left w:val="none" w:sz="0" w:space="0" w:color="auto"/>
        <w:bottom w:val="none" w:sz="0" w:space="0" w:color="auto"/>
        <w:right w:val="none" w:sz="0" w:space="0" w:color="auto"/>
      </w:divBdr>
      <w:divsChild>
        <w:div w:id="57673867">
          <w:marLeft w:val="0"/>
          <w:marRight w:val="0"/>
          <w:marTop w:val="0"/>
          <w:marBottom w:val="0"/>
          <w:divBdr>
            <w:top w:val="none" w:sz="0" w:space="0" w:color="auto"/>
            <w:left w:val="none" w:sz="0" w:space="0" w:color="auto"/>
            <w:bottom w:val="none" w:sz="0" w:space="0" w:color="auto"/>
            <w:right w:val="none" w:sz="0" w:space="0" w:color="auto"/>
          </w:divBdr>
        </w:div>
        <w:div w:id="57673873">
          <w:marLeft w:val="0"/>
          <w:marRight w:val="0"/>
          <w:marTop w:val="0"/>
          <w:marBottom w:val="0"/>
          <w:divBdr>
            <w:top w:val="none" w:sz="0" w:space="0" w:color="auto"/>
            <w:left w:val="none" w:sz="0" w:space="0" w:color="auto"/>
            <w:bottom w:val="none" w:sz="0" w:space="0" w:color="auto"/>
            <w:right w:val="none" w:sz="0" w:space="0" w:color="auto"/>
          </w:divBdr>
        </w:div>
      </w:divsChild>
    </w:div>
    <w:div w:id="57673892">
      <w:marLeft w:val="0"/>
      <w:marRight w:val="0"/>
      <w:marTop w:val="0"/>
      <w:marBottom w:val="0"/>
      <w:divBdr>
        <w:top w:val="none" w:sz="0" w:space="0" w:color="auto"/>
        <w:left w:val="none" w:sz="0" w:space="0" w:color="auto"/>
        <w:bottom w:val="none" w:sz="0" w:space="0" w:color="auto"/>
        <w:right w:val="none" w:sz="0" w:space="0" w:color="auto"/>
      </w:divBdr>
      <w:divsChild>
        <w:div w:id="57673879">
          <w:marLeft w:val="0"/>
          <w:marRight w:val="0"/>
          <w:marTop w:val="0"/>
          <w:marBottom w:val="0"/>
          <w:divBdr>
            <w:top w:val="none" w:sz="0" w:space="0" w:color="auto"/>
            <w:left w:val="none" w:sz="0" w:space="0" w:color="auto"/>
            <w:bottom w:val="none" w:sz="0" w:space="0" w:color="auto"/>
            <w:right w:val="none" w:sz="0" w:space="0" w:color="auto"/>
          </w:divBdr>
        </w:div>
      </w:divsChild>
    </w:div>
    <w:div w:id="57673894">
      <w:marLeft w:val="0"/>
      <w:marRight w:val="0"/>
      <w:marTop w:val="0"/>
      <w:marBottom w:val="0"/>
      <w:divBdr>
        <w:top w:val="none" w:sz="0" w:space="0" w:color="auto"/>
        <w:left w:val="none" w:sz="0" w:space="0" w:color="auto"/>
        <w:bottom w:val="none" w:sz="0" w:space="0" w:color="auto"/>
        <w:right w:val="none" w:sz="0" w:space="0" w:color="auto"/>
      </w:divBdr>
      <w:divsChild>
        <w:div w:id="57673868">
          <w:marLeft w:val="0"/>
          <w:marRight w:val="0"/>
          <w:marTop w:val="0"/>
          <w:marBottom w:val="0"/>
          <w:divBdr>
            <w:top w:val="none" w:sz="0" w:space="0" w:color="auto"/>
            <w:left w:val="none" w:sz="0" w:space="0" w:color="auto"/>
            <w:bottom w:val="none" w:sz="0" w:space="0" w:color="auto"/>
            <w:right w:val="none" w:sz="0" w:space="0" w:color="auto"/>
          </w:divBdr>
        </w:div>
        <w:div w:id="57673869">
          <w:marLeft w:val="0"/>
          <w:marRight w:val="0"/>
          <w:marTop w:val="0"/>
          <w:marBottom w:val="0"/>
          <w:divBdr>
            <w:top w:val="none" w:sz="0" w:space="0" w:color="auto"/>
            <w:left w:val="none" w:sz="0" w:space="0" w:color="auto"/>
            <w:bottom w:val="none" w:sz="0" w:space="0" w:color="auto"/>
            <w:right w:val="none" w:sz="0" w:space="0" w:color="auto"/>
          </w:divBdr>
        </w:div>
        <w:div w:id="57673870">
          <w:marLeft w:val="0"/>
          <w:marRight w:val="0"/>
          <w:marTop w:val="0"/>
          <w:marBottom w:val="0"/>
          <w:divBdr>
            <w:top w:val="none" w:sz="0" w:space="0" w:color="auto"/>
            <w:left w:val="none" w:sz="0" w:space="0" w:color="auto"/>
            <w:bottom w:val="none" w:sz="0" w:space="0" w:color="auto"/>
            <w:right w:val="none" w:sz="0" w:space="0" w:color="auto"/>
          </w:divBdr>
        </w:div>
        <w:div w:id="57673872">
          <w:marLeft w:val="0"/>
          <w:marRight w:val="0"/>
          <w:marTop w:val="0"/>
          <w:marBottom w:val="0"/>
          <w:divBdr>
            <w:top w:val="none" w:sz="0" w:space="0" w:color="auto"/>
            <w:left w:val="none" w:sz="0" w:space="0" w:color="auto"/>
            <w:bottom w:val="none" w:sz="0" w:space="0" w:color="auto"/>
            <w:right w:val="none" w:sz="0" w:space="0" w:color="auto"/>
          </w:divBdr>
        </w:div>
        <w:div w:id="57673874">
          <w:marLeft w:val="0"/>
          <w:marRight w:val="0"/>
          <w:marTop w:val="0"/>
          <w:marBottom w:val="0"/>
          <w:divBdr>
            <w:top w:val="none" w:sz="0" w:space="0" w:color="auto"/>
            <w:left w:val="none" w:sz="0" w:space="0" w:color="auto"/>
            <w:bottom w:val="none" w:sz="0" w:space="0" w:color="auto"/>
            <w:right w:val="none" w:sz="0" w:space="0" w:color="auto"/>
          </w:divBdr>
        </w:div>
        <w:div w:id="57673875">
          <w:marLeft w:val="0"/>
          <w:marRight w:val="0"/>
          <w:marTop w:val="0"/>
          <w:marBottom w:val="0"/>
          <w:divBdr>
            <w:top w:val="none" w:sz="0" w:space="0" w:color="auto"/>
            <w:left w:val="none" w:sz="0" w:space="0" w:color="auto"/>
            <w:bottom w:val="none" w:sz="0" w:space="0" w:color="auto"/>
            <w:right w:val="none" w:sz="0" w:space="0" w:color="auto"/>
          </w:divBdr>
        </w:div>
        <w:div w:id="57673876">
          <w:marLeft w:val="0"/>
          <w:marRight w:val="0"/>
          <w:marTop w:val="0"/>
          <w:marBottom w:val="0"/>
          <w:divBdr>
            <w:top w:val="none" w:sz="0" w:space="0" w:color="auto"/>
            <w:left w:val="none" w:sz="0" w:space="0" w:color="auto"/>
            <w:bottom w:val="none" w:sz="0" w:space="0" w:color="auto"/>
            <w:right w:val="none" w:sz="0" w:space="0" w:color="auto"/>
          </w:divBdr>
        </w:div>
        <w:div w:id="57673878">
          <w:marLeft w:val="0"/>
          <w:marRight w:val="0"/>
          <w:marTop w:val="0"/>
          <w:marBottom w:val="0"/>
          <w:divBdr>
            <w:top w:val="none" w:sz="0" w:space="0" w:color="auto"/>
            <w:left w:val="none" w:sz="0" w:space="0" w:color="auto"/>
            <w:bottom w:val="none" w:sz="0" w:space="0" w:color="auto"/>
            <w:right w:val="none" w:sz="0" w:space="0" w:color="auto"/>
          </w:divBdr>
        </w:div>
        <w:div w:id="57673880">
          <w:marLeft w:val="0"/>
          <w:marRight w:val="0"/>
          <w:marTop w:val="0"/>
          <w:marBottom w:val="0"/>
          <w:divBdr>
            <w:top w:val="none" w:sz="0" w:space="0" w:color="auto"/>
            <w:left w:val="none" w:sz="0" w:space="0" w:color="auto"/>
            <w:bottom w:val="none" w:sz="0" w:space="0" w:color="auto"/>
            <w:right w:val="none" w:sz="0" w:space="0" w:color="auto"/>
          </w:divBdr>
        </w:div>
        <w:div w:id="57673881">
          <w:marLeft w:val="0"/>
          <w:marRight w:val="0"/>
          <w:marTop w:val="0"/>
          <w:marBottom w:val="0"/>
          <w:divBdr>
            <w:top w:val="none" w:sz="0" w:space="0" w:color="auto"/>
            <w:left w:val="none" w:sz="0" w:space="0" w:color="auto"/>
            <w:bottom w:val="none" w:sz="0" w:space="0" w:color="auto"/>
            <w:right w:val="none" w:sz="0" w:space="0" w:color="auto"/>
          </w:divBdr>
        </w:div>
        <w:div w:id="57673882">
          <w:marLeft w:val="0"/>
          <w:marRight w:val="0"/>
          <w:marTop w:val="0"/>
          <w:marBottom w:val="0"/>
          <w:divBdr>
            <w:top w:val="none" w:sz="0" w:space="0" w:color="auto"/>
            <w:left w:val="none" w:sz="0" w:space="0" w:color="auto"/>
            <w:bottom w:val="none" w:sz="0" w:space="0" w:color="auto"/>
            <w:right w:val="none" w:sz="0" w:space="0" w:color="auto"/>
          </w:divBdr>
        </w:div>
        <w:div w:id="57673883">
          <w:marLeft w:val="0"/>
          <w:marRight w:val="0"/>
          <w:marTop w:val="0"/>
          <w:marBottom w:val="0"/>
          <w:divBdr>
            <w:top w:val="none" w:sz="0" w:space="0" w:color="auto"/>
            <w:left w:val="none" w:sz="0" w:space="0" w:color="auto"/>
            <w:bottom w:val="none" w:sz="0" w:space="0" w:color="auto"/>
            <w:right w:val="none" w:sz="0" w:space="0" w:color="auto"/>
          </w:divBdr>
        </w:div>
        <w:div w:id="57673884">
          <w:marLeft w:val="0"/>
          <w:marRight w:val="0"/>
          <w:marTop w:val="0"/>
          <w:marBottom w:val="0"/>
          <w:divBdr>
            <w:top w:val="none" w:sz="0" w:space="0" w:color="auto"/>
            <w:left w:val="none" w:sz="0" w:space="0" w:color="auto"/>
            <w:bottom w:val="none" w:sz="0" w:space="0" w:color="auto"/>
            <w:right w:val="none" w:sz="0" w:space="0" w:color="auto"/>
          </w:divBdr>
        </w:div>
        <w:div w:id="57673885">
          <w:marLeft w:val="0"/>
          <w:marRight w:val="0"/>
          <w:marTop w:val="0"/>
          <w:marBottom w:val="0"/>
          <w:divBdr>
            <w:top w:val="none" w:sz="0" w:space="0" w:color="auto"/>
            <w:left w:val="none" w:sz="0" w:space="0" w:color="auto"/>
            <w:bottom w:val="none" w:sz="0" w:space="0" w:color="auto"/>
            <w:right w:val="none" w:sz="0" w:space="0" w:color="auto"/>
          </w:divBdr>
        </w:div>
        <w:div w:id="57673888">
          <w:marLeft w:val="0"/>
          <w:marRight w:val="0"/>
          <w:marTop w:val="0"/>
          <w:marBottom w:val="0"/>
          <w:divBdr>
            <w:top w:val="none" w:sz="0" w:space="0" w:color="auto"/>
            <w:left w:val="none" w:sz="0" w:space="0" w:color="auto"/>
            <w:bottom w:val="none" w:sz="0" w:space="0" w:color="auto"/>
            <w:right w:val="none" w:sz="0" w:space="0" w:color="auto"/>
          </w:divBdr>
        </w:div>
        <w:div w:id="57673889">
          <w:marLeft w:val="0"/>
          <w:marRight w:val="0"/>
          <w:marTop w:val="0"/>
          <w:marBottom w:val="0"/>
          <w:divBdr>
            <w:top w:val="none" w:sz="0" w:space="0" w:color="auto"/>
            <w:left w:val="none" w:sz="0" w:space="0" w:color="auto"/>
            <w:bottom w:val="none" w:sz="0" w:space="0" w:color="auto"/>
            <w:right w:val="none" w:sz="0" w:space="0" w:color="auto"/>
          </w:divBdr>
        </w:div>
        <w:div w:id="57673893">
          <w:marLeft w:val="0"/>
          <w:marRight w:val="0"/>
          <w:marTop w:val="0"/>
          <w:marBottom w:val="0"/>
          <w:divBdr>
            <w:top w:val="none" w:sz="0" w:space="0" w:color="auto"/>
            <w:left w:val="none" w:sz="0" w:space="0" w:color="auto"/>
            <w:bottom w:val="none" w:sz="0" w:space="0" w:color="auto"/>
            <w:right w:val="none" w:sz="0" w:space="0" w:color="auto"/>
          </w:divBdr>
        </w:div>
        <w:div w:id="57673896">
          <w:marLeft w:val="0"/>
          <w:marRight w:val="0"/>
          <w:marTop w:val="0"/>
          <w:marBottom w:val="0"/>
          <w:divBdr>
            <w:top w:val="none" w:sz="0" w:space="0" w:color="auto"/>
            <w:left w:val="none" w:sz="0" w:space="0" w:color="auto"/>
            <w:bottom w:val="none" w:sz="0" w:space="0" w:color="auto"/>
            <w:right w:val="none" w:sz="0" w:space="0" w:color="auto"/>
          </w:divBdr>
        </w:div>
        <w:div w:id="57673897">
          <w:marLeft w:val="0"/>
          <w:marRight w:val="0"/>
          <w:marTop w:val="0"/>
          <w:marBottom w:val="0"/>
          <w:divBdr>
            <w:top w:val="none" w:sz="0" w:space="0" w:color="auto"/>
            <w:left w:val="none" w:sz="0" w:space="0" w:color="auto"/>
            <w:bottom w:val="none" w:sz="0" w:space="0" w:color="auto"/>
            <w:right w:val="none" w:sz="0" w:space="0" w:color="auto"/>
          </w:divBdr>
        </w:div>
        <w:div w:id="57673898">
          <w:marLeft w:val="0"/>
          <w:marRight w:val="0"/>
          <w:marTop w:val="0"/>
          <w:marBottom w:val="0"/>
          <w:divBdr>
            <w:top w:val="none" w:sz="0" w:space="0" w:color="auto"/>
            <w:left w:val="none" w:sz="0" w:space="0" w:color="auto"/>
            <w:bottom w:val="none" w:sz="0" w:space="0" w:color="auto"/>
            <w:right w:val="none" w:sz="0" w:space="0" w:color="auto"/>
          </w:divBdr>
        </w:div>
        <w:div w:id="57673899">
          <w:marLeft w:val="0"/>
          <w:marRight w:val="0"/>
          <w:marTop w:val="0"/>
          <w:marBottom w:val="0"/>
          <w:divBdr>
            <w:top w:val="none" w:sz="0" w:space="0" w:color="auto"/>
            <w:left w:val="none" w:sz="0" w:space="0" w:color="auto"/>
            <w:bottom w:val="none" w:sz="0" w:space="0" w:color="auto"/>
            <w:right w:val="none" w:sz="0" w:space="0" w:color="auto"/>
          </w:divBdr>
        </w:div>
        <w:div w:id="57673900">
          <w:marLeft w:val="0"/>
          <w:marRight w:val="0"/>
          <w:marTop w:val="0"/>
          <w:marBottom w:val="0"/>
          <w:divBdr>
            <w:top w:val="none" w:sz="0" w:space="0" w:color="auto"/>
            <w:left w:val="none" w:sz="0" w:space="0" w:color="auto"/>
            <w:bottom w:val="none" w:sz="0" w:space="0" w:color="auto"/>
            <w:right w:val="none" w:sz="0" w:space="0" w:color="auto"/>
          </w:divBdr>
        </w:div>
        <w:div w:id="57673901">
          <w:marLeft w:val="0"/>
          <w:marRight w:val="0"/>
          <w:marTop w:val="0"/>
          <w:marBottom w:val="0"/>
          <w:divBdr>
            <w:top w:val="none" w:sz="0" w:space="0" w:color="auto"/>
            <w:left w:val="none" w:sz="0" w:space="0" w:color="auto"/>
            <w:bottom w:val="none" w:sz="0" w:space="0" w:color="auto"/>
            <w:right w:val="none" w:sz="0" w:space="0" w:color="auto"/>
          </w:divBdr>
        </w:div>
      </w:divsChild>
    </w:div>
    <w:div w:id="57673902">
      <w:marLeft w:val="0"/>
      <w:marRight w:val="0"/>
      <w:marTop w:val="0"/>
      <w:marBottom w:val="0"/>
      <w:divBdr>
        <w:top w:val="none" w:sz="0" w:space="0" w:color="auto"/>
        <w:left w:val="none" w:sz="0" w:space="0" w:color="auto"/>
        <w:bottom w:val="none" w:sz="0" w:space="0" w:color="auto"/>
        <w:right w:val="none" w:sz="0" w:space="0" w:color="auto"/>
      </w:divBdr>
      <w:divsChild>
        <w:div w:id="57673895">
          <w:marLeft w:val="0"/>
          <w:marRight w:val="0"/>
          <w:marTop w:val="0"/>
          <w:marBottom w:val="0"/>
          <w:divBdr>
            <w:top w:val="none" w:sz="0" w:space="0" w:color="auto"/>
            <w:left w:val="none" w:sz="0" w:space="0" w:color="auto"/>
            <w:bottom w:val="none" w:sz="0" w:space="0" w:color="auto"/>
            <w:right w:val="none" w:sz="0" w:space="0" w:color="auto"/>
          </w:divBdr>
        </w:div>
      </w:divsChild>
    </w:div>
    <w:div w:id="57673904">
      <w:marLeft w:val="0"/>
      <w:marRight w:val="0"/>
      <w:marTop w:val="0"/>
      <w:marBottom w:val="0"/>
      <w:divBdr>
        <w:top w:val="none" w:sz="0" w:space="0" w:color="auto"/>
        <w:left w:val="none" w:sz="0" w:space="0" w:color="auto"/>
        <w:bottom w:val="none" w:sz="0" w:space="0" w:color="auto"/>
        <w:right w:val="none" w:sz="0" w:space="0" w:color="auto"/>
      </w:divBdr>
      <w:divsChild>
        <w:div w:id="57673903">
          <w:marLeft w:val="0"/>
          <w:marRight w:val="0"/>
          <w:marTop w:val="0"/>
          <w:marBottom w:val="0"/>
          <w:divBdr>
            <w:top w:val="none" w:sz="0" w:space="0" w:color="auto"/>
            <w:left w:val="none" w:sz="0" w:space="0" w:color="auto"/>
            <w:bottom w:val="none" w:sz="0" w:space="0" w:color="auto"/>
            <w:right w:val="none" w:sz="0" w:space="0" w:color="auto"/>
          </w:divBdr>
        </w:div>
      </w:divsChild>
    </w:div>
    <w:div w:id="57673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789</Words>
  <Characters>4105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horovaluc0</cp:lastModifiedBy>
  <cp:revision>4</cp:revision>
  <cp:lastPrinted>2012-08-01T08:49:00Z</cp:lastPrinted>
  <dcterms:created xsi:type="dcterms:W3CDTF">2012-08-05T20:34:00Z</dcterms:created>
  <dcterms:modified xsi:type="dcterms:W3CDTF">2012-08-05T20:38:00Z</dcterms:modified>
</cp:coreProperties>
</file>