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4D" w:rsidRDefault="0091064D" w:rsidP="00910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Theme="minorEastAsia" w:hAnsi="Georgia" w:cs="Georgia"/>
          <w:b/>
          <w:bCs/>
          <w:color w:val="222E7D"/>
          <w:sz w:val="39"/>
          <w:szCs w:val="39"/>
        </w:rPr>
      </w:pP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  <w:t xml:space="preserve">   </w:t>
      </w:r>
      <w:r w:rsidRPr="0091064D">
        <w:rPr>
          <w:rFonts w:ascii="Georgia" w:eastAsiaTheme="minorEastAsia" w:hAnsi="Georgia" w:cs="Georgia"/>
          <w:b/>
          <w:bCs/>
          <w:noProof/>
          <w:color w:val="222E7D"/>
          <w:sz w:val="39"/>
          <w:szCs w:val="39"/>
        </w:rPr>
        <w:drawing>
          <wp:inline distT="0" distB="0" distL="0" distR="0">
            <wp:extent cx="2150842" cy="419075"/>
            <wp:effectExtent l="25400" t="0" r="8158" b="0"/>
            <wp:docPr id="4" name="Picture 1" descr="CT logo -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 logo - 20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011" cy="42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68A" w:rsidRDefault="0064468A" w:rsidP="00910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Theme="minorEastAsia" w:hAnsi="Georgia" w:cs="Georgia"/>
          <w:b/>
          <w:bCs/>
          <w:color w:val="222E7D"/>
          <w:sz w:val="39"/>
          <w:szCs w:val="39"/>
        </w:rPr>
      </w:pPr>
    </w:p>
    <w:p w:rsidR="0091064D" w:rsidRPr="0064468A" w:rsidRDefault="0064468A" w:rsidP="00910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Theme="minorEastAsia" w:hAnsi="Verdana" w:cs="Georgia"/>
          <w:b/>
          <w:bCs/>
          <w:szCs w:val="39"/>
        </w:rPr>
      </w:pPr>
      <w:r w:rsidRPr="0064468A">
        <w:rPr>
          <w:rFonts w:ascii="Verdana" w:eastAsiaTheme="minorEastAsia" w:hAnsi="Verdana" w:cs="Georgia"/>
          <w:b/>
          <w:bCs/>
          <w:szCs w:val="39"/>
        </w:rPr>
        <w:t>March 2012</w:t>
      </w:r>
      <w:r w:rsidR="0091064D" w:rsidRPr="0064468A">
        <w:rPr>
          <w:rFonts w:ascii="Verdana" w:eastAsiaTheme="minorEastAsia" w:hAnsi="Verdana" w:cs="Georgia"/>
          <w:b/>
          <w:bCs/>
          <w:szCs w:val="39"/>
        </w:rPr>
        <w:tab/>
      </w:r>
      <w:r w:rsidR="0091064D" w:rsidRPr="0064468A">
        <w:rPr>
          <w:rFonts w:ascii="Verdana" w:eastAsiaTheme="minorEastAsia" w:hAnsi="Verdana" w:cs="Georgia"/>
          <w:b/>
          <w:bCs/>
          <w:szCs w:val="39"/>
        </w:rPr>
        <w:tab/>
      </w:r>
      <w:r w:rsidR="0091064D" w:rsidRPr="0064468A">
        <w:rPr>
          <w:rFonts w:ascii="Verdana" w:eastAsiaTheme="minorEastAsia" w:hAnsi="Verdana" w:cs="Georgia"/>
          <w:b/>
          <w:bCs/>
          <w:szCs w:val="39"/>
        </w:rPr>
        <w:tab/>
      </w:r>
      <w:r w:rsidR="0091064D" w:rsidRPr="0064468A">
        <w:rPr>
          <w:rFonts w:ascii="Verdana" w:eastAsiaTheme="minorEastAsia" w:hAnsi="Verdana" w:cs="Georgia"/>
          <w:b/>
          <w:bCs/>
          <w:szCs w:val="39"/>
        </w:rPr>
        <w:tab/>
      </w:r>
      <w:r w:rsidR="0091064D" w:rsidRPr="0064468A">
        <w:rPr>
          <w:rFonts w:ascii="Verdana" w:eastAsiaTheme="minorEastAsia" w:hAnsi="Verdana" w:cs="Georgia"/>
          <w:b/>
          <w:bCs/>
          <w:szCs w:val="39"/>
        </w:rPr>
        <w:tab/>
      </w:r>
      <w:r w:rsidR="0091064D" w:rsidRPr="0064468A">
        <w:rPr>
          <w:rFonts w:ascii="Verdana" w:eastAsiaTheme="minorEastAsia" w:hAnsi="Verdana" w:cs="Georgia"/>
          <w:b/>
          <w:bCs/>
          <w:szCs w:val="39"/>
        </w:rPr>
        <w:tab/>
      </w:r>
      <w:r w:rsidR="0091064D" w:rsidRPr="0064468A">
        <w:rPr>
          <w:rFonts w:ascii="Verdana" w:eastAsiaTheme="minorEastAsia" w:hAnsi="Verdana" w:cs="Georgia"/>
          <w:b/>
          <w:bCs/>
          <w:szCs w:val="39"/>
        </w:rPr>
        <w:tab/>
      </w:r>
      <w:r w:rsidR="0091064D" w:rsidRPr="0064468A">
        <w:rPr>
          <w:rFonts w:ascii="Verdana" w:eastAsiaTheme="minorEastAsia" w:hAnsi="Verdana" w:cs="Georgia"/>
          <w:b/>
          <w:bCs/>
          <w:szCs w:val="39"/>
        </w:rPr>
        <w:tab/>
        <w:t xml:space="preserve">  </w:t>
      </w:r>
    </w:p>
    <w:p w:rsidR="0091064D" w:rsidRDefault="0091064D" w:rsidP="00910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Theme="minorEastAsia" w:hAnsi="Georgia" w:cs="Georgia"/>
          <w:b/>
          <w:bCs/>
          <w:color w:val="222E7D"/>
          <w:sz w:val="39"/>
          <w:szCs w:val="39"/>
        </w:rPr>
      </w:pPr>
    </w:p>
    <w:p w:rsidR="0091064D" w:rsidRPr="00B250CF" w:rsidRDefault="0091064D" w:rsidP="00910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Theme="minorEastAsia" w:hAnsi="Verdana" w:cs="Georgia"/>
          <w:bCs/>
          <w:color w:val="0000FF"/>
          <w:szCs w:val="39"/>
        </w:rPr>
      </w:pPr>
      <w:proofErr w:type="spellStart"/>
      <w:r w:rsidRPr="00B250CF">
        <w:rPr>
          <w:rFonts w:ascii="Verdana" w:eastAsiaTheme="minorEastAsia" w:hAnsi="Verdana" w:cs="Georgia"/>
          <w:bCs/>
          <w:color w:val="0000FF"/>
          <w:szCs w:val="39"/>
        </w:rPr>
        <w:t>CapitalTrack’s</w:t>
      </w:r>
      <w:proofErr w:type="spellEnd"/>
      <w:r w:rsidRPr="00B250CF">
        <w:rPr>
          <w:rFonts w:ascii="Verdana" w:eastAsiaTheme="minorEastAsia" w:hAnsi="Verdana" w:cs="Georgia"/>
          <w:bCs/>
          <w:color w:val="0000FF"/>
          <w:szCs w:val="39"/>
        </w:rPr>
        <w:t xml:space="preserve"> </w:t>
      </w:r>
      <w:r w:rsidR="0064468A" w:rsidRPr="00B250CF">
        <w:rPr>
          <w:rFonts w:ascii="Verdana" w:eastAsiaTheme="minorEastAsia" w:hAnsi="Verdana" w:cs="Georgia"/>
          <w:bCs/>
          <w:color w:val="0000FF"/>
          <w:szCs w:val="39"/>
        </w:rPr>
        <w:t>formal response to the “</w:t>
      </w:r>
      <w:r w:rsidR="0064468A" w:rsidRPr="00B250CF">
        <w:rPr>
          <w:rFonts w:ascii="Verdana" w:eastAsiaTheme="minorEastAsia" w:hAnsi="Verdana" w:cs="Georgia"/>
          <w:b/>
          <w:bCs/>
          <w:color w:val="0000FF"/>
          <w:szCs w:val="39"/>
        </w:rPr>
        <w:t>Trade Repository</w:t>
      </w:r>
      <w:r w:rsidR="0064468A" w:rsidRPr="00B250CF">
        <w:rPr>
          <w:rFonts w:ascii="Verdana" w:eastAsiaTheme="minorEastAsia" w:hAnsi="Verdana" w:cs="Georgia"/>
          <w:bCs/>
          <w:color w:val="0000FF"/>
          <w:szCs w:val="39"/>
        </w:rPr>
        <w:t>” section</w:t>
      </w:r>
      <w:r w:rsidR="00B250CF" w:rsidRPr="00B250CF">
        <w:rPr>
          <w:rFonts w:ascii="Verdana" w:eastAsiaTheme="minorEastAsia" w:hAnsi="Verdana" w:cs="Georgia"/>
          <w:bCs/>
          <w:color w:val="0000FF"/>
          <w:szCs w:val="39"/>
        </w:rPr>
        <w:t xml:space="preserve"> 111.111</w:t>
      </w:r>
      <w:r w:rsidR="0064468A" w:rsidRPr="00B250CF">
        <w:rPr>
          <w:rFonts w:ascii="Verdana" w:eastAsiaTheme="minorEastAsia" w:hAnsi="Verdana" w:cs="Georgia"/>
          <w:bCs/>
          <w:color w:val="0000FF"/>
          <w:szCs w:val="39"/>
        </w:rPr>
        <w:t xml:space="preserve"> of the following paper:</w:t>
      </w:r>
    </w:p>
    <w:p w:rsidR="0091064D" w:rsidRDefault="0091064D" w:rsidP="00910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Theme="minorEastAsia" w:hAnsi="Georgia" w:cs="Georgia"/>
          <w:b/>
          <w:bCs/>
          <w:color w:val="222E7D"/>
          <w:sz w:val="39"/>
          <w:szCs w:val="39"/>
        </w:rPr>
      </w:pPr>
    </w:p>
    <w:p w:rsidR="0064468A" w:rsidRDefault="0064468A" w:rsidP="00910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Theme="minorEastAsia" w:hAnsi="Georgia" w:cs="Georgia"/>
          <w:b/>
          <w:bCs/>
          <w:color w:val="222E7D"/>
          <w:sz w:val="39"/>
          <w:szCs w:val="39"/>
        </w:rPr>
      </w:pPr>
    </w:p>
    <w:p w:rsidR="0091064D" w:rsidRPr="0091064D" w:rsidRDefault="0064468A" w:rsidP="009106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Theme="minorEastAsia" w:hAnsi="Georgia" w:cs="Georgia"/>
          <w:b/>
          <w:bCs/>
          <w:color w:val="222E7D"/>
          <w:sz w:val="39"/>
          <w:szCs w:val="39"/>
        </w:rPr>
      </w:pPr>
      <w:r w:rsidRPr="0064468A">
        <w:rPr>
          <w:rFonts w:ascii="Georgia" w:eastAsiaTheme="minorEastAsia" w:hAnsi="Georgia" w:cs="Georgia"/>
          <w:b/>
          <w:bCs/>
          <w:noProof/>
          <w:color w:val="222E7D"/>
          <w:sz w:val="39"/>
          <w:szCs w:val="39"/>
        </w:rPr>
        <w:drawing>
          <wp:inline distT="0" distB="0" distL="0" distR="0">
            <wp:extent cx="914400" cy="914400"/>
            <wp:effectExtent l="2540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01" cy="914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r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ab/>
      </w:r>
      <w:proofErr w:type="gramStart"/>
      <w:r w:rsidR="0091064D" w:rsidRPr="0091064D"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>Discussion  Paper</w:t>
      </w:r>
      <w:proofErr w:type="gramEnd"/>
      <w:r w:rsidR="0091064D" w:rsidRPr="0091064D">
        <w:rPr>
          <w:rFonts w:ascii="Georgia" w:eastAsiaTheme="minorEastAsia" w:hAnsi="Georgia" w:cs="Georgia"/>
          <w:b/>
          <w:bCs/>
          <w:color w:val="222E7D"/>
          <w:sz w:val="39"/>
          <w:szCs w:val="39"/>
        </w:rPr>
        <w:t xml:space="preserve">  </w:t>
      </w:r>
    </w:p>
    <w:p w:rsidR="0091064D" w:rsidRDefault="0091064D" w:rsidP="0091064D">
      <w:pPr>
        <w:rPr>
          <w:rFonts w:ascii="Georgia" w:eastAsiaTheme="minorEastAsia" w:hAnsi="Georgia" w:cs="Georgia"/>
          <w:color w:val="000000"/>
        </w:rPr>
      </w:pPr>
    </w:p>
    <w:p w:rsidR="0091064D" w:rsidRDefault="0091064D" w:rsidP="0091064D">
      <w:pPr>
        <w:rPr>
          <w:rFonts w:ascii="Georgia" w:eastAsiaTheme="minorEastAsia" w:hAnsi="Georgia" w:cs="Georgia"/>
          <w:color w:val="000000"/>
        </w:rPr>
      </w:pPr>
    </w:p>
    <w:p w:rsidR="0091064D" w:rsidRDefault="0091064D" w:rsidP="0091064D">
      <w:pPr>
        <w:rPr>
          <w:rFonts w:ascii="Georgia" w:eastAsiaTheme="minorEastAsia" w:hAnsi="Georgia" w:cs="Georgia"/>
          <w:color w:val="000000"/>
        </w:rPr>
      </w:pPr>
      <w:r>
        <w:rPr>
          <w:rFonts w:ascii="Georgia" w:eastAsiaTheme="minorEastAsia" w:hAnsi="Georgia" w:cs="Georgia"/>
          <w:color w:val="000000"/>
        </w:rPr>
        <w:tab/>
        <w:t xml:space="preserve">    Draft </w:t>
      </w:r>
      <w:proofErr w:type="gramStart"/>
      <w:r w:rsidRPr="0091064D">
        <w:rPr>
          <w:rFonts w:ascii="Georgia" w:eastAsiaTheme="minorEastAsia" w:hAnsi="Georgia" w:cs="Georgia"/>
          <w:color w:val="000000"/>
        </w:rPr>
        <w:t>Technical  Standards</w:t>
      </w:r>
      <w:proofErr w:type="gramEnd"/>
      <w:r w:rsidRPr="0091064D">
        <w:rPr>
          <w:rFonts w:ascii="Georgia" w:eastAsiaTheme="minorEastAsia" w:hAnsi="Georgia" w:cs="Georgia"/>
          <w:color w:val="000000"/>
        </w:rPr>
        <w:t xml:space="preserve">  for  the  Regulation  on  OTC  Derivatives,  </w:t>
      </w:r>
      <w:r>
        <w:rPr>
          <w:rFonts w:ascii="Georgia" w:eastAsiaTheme="minorEastAsia" w:hAnsi="Georgia" w:cs="Georgia"/>
          <w:color w:val="000000"/>
        </w:rPr>
        <w:tab/>
      </w:r>
      <w:r>
        <w:rPr>
          <w:rFonts w:ascii="Georgia" w:eastAsiaTheme="minorEastAsia" w:hAnsi="Georgia" w:cs="Georgia"/>
          <w:color w:val="000000"/>
        </w:rPr>
        <w:tab/>
      </w:r>
      <w:r>
        <w:rPr>
          <w:rFonts w:ascii="Georgia" w:eastAsiaTheme="minorEastAsia" w:hAnsi="Georgia" w:cs="Georgia"/>
          <w:color w:val="000000"/>
        </w:rPr>
        <w:tab/>
      </w:r>
      <w:r>
        <w:rPr>
          <w:rFonts w:ascii="Georgia" w:eastAsiaTheme="minorEastAsia" w:hAnsi="Georgia" w:cs="Georgia"/>
          <w:color w:val="000000"/>
        </w:rPr>
        <w:tab/>
      </w:r>
      <w:r>
        <w:rPr>
          <w:rFonts w:ascii="Georgia" w:eastAsiaTheme="minorEastAsia" w:hAnsi="Georgia" w:cs="Georgia"/>
          <w:color w:val="000000"/>
        </w:rPr>
        <w:tab/>
      </w:r>
      <w:r>
        <w:rPr>
          <w:rFonts w:ascii="Georgia" w:eastAsiaTheme="minorEastAsia" w:hAnsi="Georgia" w:cs="Georgia"/>
          <w:color w:val="000000"/>
        </w:rPr>
        <w:tab/>
      </w:r>
      <w:r>
        <w:rPr>
          <w:rFonts w:ascii="Georgia" w:eastAsiaTheme="minorEastAsia" w:hAnsi="Georgia" w:cs="Georgia"/>
          <w:color w:val="000000"/>
        </w:rPr>
        <w:tab/>
      </w:r>
      <w:proofErr w:type="spellStart"/>
      <w:r w:rsidRPr="0091064D">
        <w:rPr>
          <w:rFonts w:ascii="Georgia" w:eastAsiaTheme="minorEastAsia" w:hAnsi="Georgia" w:cs="Georgia"/>
          <w:color w:val="000000"/>
        </w:rPr>
        <w:t>CCPs</w:t>
      </w:r>
      <w:proofErr w:type="spellEnd"/>
      <w:r w:rsidRPr="0091064D">
        <w:rPr>
          <w:rFonts w:ascii="Georgia" w:eastAsiaTheme="minorEastAsia" w:hAnsi="Georgia" w:cs="Georgia"/>
          <w:color w:val="000000"/>
        </w:rPr>
        <w:t xml:space="preserve">  and  Trade  Repositories</w:t>
      </w:r>
    </w:p>
    <w:p w:rsidR="0091064D" w:rsidRDefault="0091064D" w:rsidP="0091064D">
      <w:pPr>
        <w:rPr>
          <w:rFonts w:ascii="Georgia" w:eastAsiaTheme="minorEastAsia" w:hAnsi="Georgia" w:cs="Georgia"/>
          <w:color w:val="000000"/>
        </w:rPr>
      </w:pPr>
    </w:p>
    <w:p w:rsidR="0064468A" w:rsidRDefault="0064468A" w:rsidP="0064468A">
      <w:pPr>
        <w:pBdr>
          <w:bottom w:val="single" w:sz="4" w:space="1" w:color="auto"/>
        </w:pBdr>
      </w:pPr>
    </w:p>
    <w:p w:rsidR="0064468A" w:rsidRDefault="0064468A" w:rsidP="0064468A"/>
    <w:p w:rsidR="00B250CF" w:rsidRDefault="0093599A" w:rsidP="00B250CF">
      <w:pPr>
        <w:pBdr>
          <w:bottom w:val="single" w:sz="4" w:space="1" w:color="auto"/>
        </w:pBdr>
        <w:rPr>
          <w:rFonts w:ascii="Georgia" w:hAnsi="Georgia" w:cs="Georgia"/>
          <w:b/>
          <w:bCs/>
          <w:color w:val="0000FF"/>
          <w:sz w:val="20"/>
          <w:szCs w:val="20"/>
        </w:rPr>
      </w:pPr>
      <w:r w:rsidRPr="0093599A">
        <w:rPr>
          <w:rFonts w:ascii="Verdana" w:hAnsi="Verdana"/>
          <w:color w:val="0000FF"/>
          <w:sz w:val="20"/>
        </w:rPr>
        <w:t xml:space="preserve">Commencing from </w:t>
      </w:r>
      <w:r w:rsidRPr="0093599A">
        <w:rPr>
          <w:rFonts w:ascii="Verdana" w:hAnsi="Verdana"/>
          <w:b/>
          <w:color w:val="0000FF"/>
          <w:sz w:val="20"/>
        </w:rPr>
        <w:t>page 46</w:t>
      </w:r>
      <w:r w:rsidRPr="0093599A">
        <w:rPr>
          <w:rFonts w:ascii="Verdana" w:hAnsi="Verdana"/>
          <w:color w:val="0000FF"/>
          <w:sz w:val="20"/>
        </w:rPr>
        <w:t xml:space="preserve"> of the above document:</w:t>
      </w:r>
      <w:r w:rsidRPr="0093599A">
        <w:rPr>
          <w:rFonts w:ascii="Georgia" w:hAnsi="Georgia" w:cs="Georgia"/>
          <w:b/>
          <w:bCs/>
          <w:color w:val="0000FF"/>
          <w:sz w:val="20"/>
          <w:szCs w:val="20"/>
        </w:rPr>
        <w:t xml:space="preserve"> </w:t>
      </w:r>
    </w:p>
    <w:p w:rsidR="0093599A" w:rsidRPr="0093599A" w:rsidRDefault="0093599A" w:rsidP="00B250CF">
      <w:pPr>
        <w:pBdr>
          <w:bottom w:val="single" w:sz="4" w:space="1" w:color="auto"/>
        </w:pBdr>
        <w:rPr>
          <w:rFonts w:ascii="Georgia" w:hAnsi="Georgia" w:cs="Georgia"/>
          <w:b/>
          <w:bCs/>
          <w:color w:val="0000FF"/>
          <w:sz w:val="20"/>
          <w:szCs w:val="20"/>
        </w:rPr>
      </w:pPr>
    </w:p>
    <w:p w:rsidR="0093599A" w:rsidRPr="0093599A" w:rsidRDefault="0093599A" w:rsidP="0093599A">
      <w:pPr>
        <w:rPr>
          <w:rFonts w:ascii="Georgia" w:hAnsi="Georgia" w:cs="Georgia"/>
          <w:b/>
          <w:bCs/>
          <w:color w:val="0000FF"/>
          <w:sz w:val="20"/>
          <w:szCs w:val="20"/>
        </w:rPr>
      </w:pPr>
    </w:p>
    <w:p w:rsidR="00CC1A4D" w:rsidRDefault="00CC1A4D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F8744E" w:rsidRDefault="00F8744E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Q69:  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What  is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your  view  on  the  need  to  ensure  consistency  between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different  transaction   reporting   mechanisms   and   the   best   ways   to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address   it,   having   in   mind   any   specific   items  to  be  reported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where  particular  challenges  could  be  anticipated?  </w:t>
      </w:r>
    </w:p>
    <w:p w:rsidR="00F8744E" w:rsidRDefault="00F8744E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3302C2" w:rsidRDefault="00F8744E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 w:rsidRPr="003302C2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3302C2">
        <w:rPr>
          <w:rFonts w:ascii="Verdana" w:hAnsi="Verdana" w:cs="Georgia"/>
          <w:bCs/>
          <w:color w:val="0000FF"/>
          <w:sz w:val="20"/>
          <w:szCs w:val="20"/>
        </w:rPr>
        <w:tab/>
      </w:r>
      <w:r w:rsidR="00E946E9" w:rsidRPr="003302C2">
        <w:rPr>
          <w:rFonts w:ascii="Verdana" w:hAnsi="Verdana" w:cs="Georgia"/>
          <w:bCs/>
          <w:color w:val="0000FF"/>
          <w:sz w:val="20"/>
          <w:szCs w:val="20"/>
        </w:rPr>
        <w:t>Consistency is vital</w:t>
      </w:r>
      <w:r w:rsidR="003302C2">
        <w:rPr>
          <w:rFonts w:ascii="Verdana" w:hAnsi="Verdana" w:cs="Georgia"/>
          <w:bCs/>
          <w:color w:val="0000FF"/>
          <w:sz w:val="20"/>
          <w:szCs w:val="20"/>
        </w:rPr>
        <w:t xml:space="preserve"> to operational integrity</w:t>
      </w:r>
      <w:r w:rsidR="00E946E9" w:rsidRPr="003302C2">
        <w:rPr>
          <w:rFonts w:ascii="Verdana" w:hAnsi="Verdana" w:cs="Georgia"/>
          <w:bCs/>
          <w:color w:val="0000FF"/>
          <w:sz w:val="20"/>
          <w:szCs w:val="20"/>
        </w:rPr>
        <w:t xml:space="preserve"> and can only be maintained if </w:t>
      </w:r>
      <w:r w:rsidR="003302C2">
        <w:rPr>
          <w:rFonts w:ascii="Verdana" w:hAnsi="Verdana" w:cs="Georgia"/>
          <w:bCs/>
          <w:color w:val="0000FF"/>
          <w:sz w:val="20"/>
          <w:szCs w:val="20"/>
        </w:rPr>
        <w:tab/>
      </w:r>
      <w:r w:rsidR="00E946E9" w:rsidRPr="003302C2">
        <w:rPr>
          <w:rFonts w:ascii="Verdana" w:hAnsi="Verdana" w:cs="Georgia"/>
          <w:bCs/>
          <w:color w:val="0000FF"/>
          <w:sz w:val="20"/>
          <w:szCs w:val="20"/>
        </w:rPr>
        <w:t>all ident</w:t>
      </w:r>
      <w:r w:rsidR="003302C2" w:rsidRPr="003302C2">
        <w:rPr>
          <w:rFonts w:ascii="Verdana" w:hAnsi="Verdana" w:cs="Georgia"/>
          <w:bCs/>
          <w:color w:val="0000FF"/>
          <w:sz w:val="20"/>
          <w:szCs w:val="20"/>
        </w:rPr>
        <w:t xml:space="preserve">ified </w:t>
      </w:r>
      <w:r w:rsidR="003302C2">
        <w:rPr>
          <w:rFonts w:ascii="Verdana" w:hAnsi="Verdana" w:cs="Georgia"/>
          <w:bCs/>
          <w:color w:val="0000FF"/>
          <w:sz w:val="20"/>
          <w:szCs w:val="20"/>
        </w:rPr>
        <w:t>c</w:t>
      </w:r>
      <w:r w:rsidR="003302C2" w:rsidRPr="003302C2">
        <w:rPr>
          <w:rFonts w:ascii="Verdana" w:hAnsi="Verdana" w:cs="Georgia"/>
          <w:bCs/>
          <w:color w:val="0000FF"/>
          <w:sz w:val="20"/>
          <w:szCs w:val="20"/>
        </w:rPr>
        <w:t>ounterparties (or any of their delegates)</w:t>
      </w:r>
      <w:r w:rsidR="003302C2">
        <w:rPr>
          <w:rFonts w:ascii="Verdana" w:hAnsi="Verdana" w:cs="Georgia"/>
          <w:bCs/>
          <w:color w:val="0000FF"/>
          <w:sz w:val="20"/>
          <w:szCs w:val="20"/>
        </w:rPr>
        <w:t xml:space="preserve"> are required to</w:t>
      </w:r>
      <w:r w:rsidR="00E946E9" w:rsidRPr="003302C2">
        <w:rPr>
          <w:rFonts w:ascii="Verdana" w:hAnsi="Verdana" w:cs="Georgia"/>
          <w:bCs/>
          <w:color w:val="0000FF"/>
          <w:sz w:val="20"/>
          <w:szCs w:val="20"/>
        </w:rPr>
        <w:t xml:space="preserve"> </w:t>
      </w:r>
      <w:r w:rsidR="003302C2">
        <w:rPr>
          <w:rFonts w:ascii="Verdana" w:hAnsi="Verdana" w:cs="Georgia"/>
          <w:bCs/>
          <w:color w:val="0000FF"/>
          <w:sz w:val="20"/>
          <w:szCs w:val="20"/>
        </w:rPr>
        <w:tab/>
        <w:t xml:space="preserve">interact through a common, central and standardized dimension.  This </w:t>
      </w:r>
      <w:r w:rsidR="003302C2">
        <w:rPr>
          <w:rFonts w:ascii="Verdana" w:hAnsi="Verdana" w:cs="Georgia"/>
          <w:bCs/>
          <w:color w:val="0000FF"/>
          <w:sz w:val="20"/>
          <w:szCs w:val="20"/>
        </w:rPr>
        <w:tab/>
        <w:t xml:space="preserve">would enable very simple and effective ‘gap’ analysis showing failure to </w:t>
      </w:r>
      <w:r w:rsidR="003302C2">
        <w:rPr>
          <w:rFonts w:ascii="Verdana" w:hAnsi="Verdana" w:cs="Georgia"/>
          <w:bCs/>
          <w:color w:val="0000FF"/>
          <w:sz w:val="20"/>
          <w:szCs w:val="20"/>
        </w:rPr>
        <w:tab/>
        <w:t>report, errors etc.</w:t>
      </w:r>
    </w:p>
    <w:p w:rsidR="003302C2" w:rsidRDefault="003302C2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3302C2" w:rsidRDefault="003302C2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3302C2" w:rsidRDefault="003302C2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3302C2" w:rsidRDefault="003302C2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Q70:  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Are  the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possible  fields  included  in  the  attached  table,  under  Parties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to  the  Contract,   sufficient  to  accurately  identify  counterparties  for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the  purposes  listed  above?  What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other  fields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or  formats  could  be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 considered?</w:t>
      </w:r>
    </w:p>
    <w:p w:rsidR="003302C2" w:rsidRDefault="003302C2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5C0CEB" w:rsidRDefault="003302C2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 w:rsidRPr="0093192D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93192D">
        <w:rPr>
          <w:rFonts w:ascii="Verdana" w:hAnsi="Verdana" w:cs="Georgia"/>
          <w:bCs/>
          <w:color w:val="0000FF"/>
          <w:sz w:val="20"/>
          <w:szCs w:val="20"/>
        </w:rPr>
        <w:tab/>
      </w:r>
      <w:r w:rsidR="0093192D" w:rsidRPr="0093192D">
        <w:rPr>
          <w:rFonts w:ascii="Verdana" w:hAnsi="Verdana" w:cs="Georgia"/>
          <w:bCs/>
          <w:color w:val="0000FF"/>
          <w:sz w:val="20"/>
          <w:szCs w:val="20"/>
        </w:rPr>
        <w:t>Yes</w:t>
      </w:r>
    </w:p>
    <w:p w:rsidR="005C0CEB" w:rsidRDefault="005C0CEB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5C0CEB" w:rsidRDefault="005C0CEB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5E34A7" w:rsidRDefault="005C0CEB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Q71:  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How  should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beneficiaries  be  identified  for  the  purpose  of  reporting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to  a  TR,  notably   in  the  case  of  long  chains  of  beneficiaries?</w:t>
      </w:r>
    </w:p>
    <w:p w:rsidR="005E34A7" w:rsidRDefault="005E34A7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5E34A7" w:rsidRDefault="005E34A7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       </w:t>
      </w:r>
      <w:r w:rsidRPr="005E34A7">
        <w:rPr>
          <w:rFonts w:ascii="Verdana" w:hAnsi="Verdana" w:cs="Georgia"/>
          <w:bCs/>
          <w:noProof/>
          <w:color w:val="0000FF"/>
          <w:sz w:val="20"/>
          <w:szCs w:val="20"/>
        </w:rPr>
        <w:drawing>
          <wp:inline distT="0" distB="0" distL="0" distR="0">
            <wp:extent cx="2150842" cy="419075"/>
            <wp:effectExtent l="25400" t="0" r="8158" b="0"/>
            <wp:docPr id="9" name="Picture 1" descr="CT logo -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 logo - 20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011" cy="42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4A7" w:rsidRPr="00630DF3" w:rsidRDefault="00630DF3" w:rsidP="0064468A">
      <w:pPr>
        <w:rPr>
          <w:rFonts w:ascii="Verdana" w:hAnsi="Verdana" w:cs="Georgia"/>
          <w:b/>
          <w:bCs/>
          <w:color w:val="0000FF"/>
          <w:sz w:val="20"/>
          <w:szCs w:val="20"/>
        </w:rPr>
      </w:pPr>
      <w:r w:rsidRPr="00630DF3">
        <w:rPr>
          <w:rFonts w:ascii="Verdana" w:hAnsi="Verdana" w:cs="Georgia"/>
          <w:b/>
          <w:bCs/>
          <w:color w:val="0000FF"/>
          <w:sz w:val="20"/>
          <w:szCs w:val="20"/>
        </w:rPr>
        <w:t>ESMA</w:t>
      </w:r>
    </w:p>
    <w:p w:rsidR="005E34A7" w:rsidRPr="005E34A7" w:rsidRDefault="005E34A7" w:rsidP="0064468A">
      <w:pPr>
        <w:rPr>
          <w:rFonts w:ascii="Verdana" w:hAnsi="Verdana" w:cs="Georgia"/>
          <w:b/>
          <w:bCs/>
          <w:sz w:val="20"/>
          <w:szCs w:val="20"/>
        </w:rPr>
      </w:pPr>
      <w:r w:rsidRPr="005E34A7">
        <w:rPr>
          <w:rFonts w:ascii="Verdana" w:hAnsi="Verdana" w:cs="Georgia"/>
          <w:b/>
          <w:bCs/>
          <w:sz w:val="20"/>
          <w:szCs w:val="20"/>
        </w:rPr>
        <w:t>Q71</w:t>
      </w:r>
      <w:r>
        <w:rPr>
          <w:rFonts w:ascii="Verdana" w:hAnsi="Verdana" w:cs="Georgia"/>
          <w:bCs/>
          <w:color w:val="0000FF"/>
          <w:sz w:val="20"/>
          <w:szCs w:val="20"/>
        </w:rPr>
        <w:t xml:space="preserve"> </w:t>
      </w:r>
      <w:r w:rsidRPr="005E34A7">
        <w:rPr>
          <w:rFonts w:ascii="Verdana" w:hAnsi="Verdana" w:cs="Georgia"/>
          <w:b/>
          <w:bCs/>
          <w:sz w:val="20"/>
          <w:szCs w:val="20"/>
        </w:rPr>
        <w:t xml:space="preserve">cont. </w:t>
      </w:r>
    </w:p>
    <w:p w:rsidR="005E34A7" w:rsidRDefault="005E34A7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0E5DEA" w:rsidRDefault="005E34A7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>
        <w:rPr>
          <w:rFonts w:ascii="Verdana" w:hAnsi="Verdana" w:cs="Georgia"/>
          <w:bCs/>
          <w:color w:val="0000FF"/>
          <w:sz w:val="20"/>
          <w:szCs w:val="20"/>
        </w:rPr>
        <w:t>CT:</w:t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The </w:t>
      </w:r>
      <w:r w:rsidR="000E5DEA">
        <w:rPr>
          <w:rFonts w:ascii="Verdana" w:hAnsi="Verdana" w:cs="Georgia"/>
          <w:bCs/>
          <w:color w:val="0000FF"/>
          <w:sz w:val="20"/>
          <w:szCs w:val="20"/>
        </w:rPr>
        <w:t xml:space="preserve">TR requires 2 fields of data capture: the first will always be the </w:t>
      </w:r>
      <w:r w:rsidR="000E5DEA">
        <w:rPr>
          <w:rFonts w:ascii="Verdana" w:hAnsi="Verdana" w:cs="Georgia"/>
          <w:bCs/>
          <w:color w:val="0000FF"/>
          <w:sz w:val="20"/>
          <w:szCs w:val="20"/>
        </w:rPr>
        <w:tab/>
        <w:t>current,</w:t>
      </w:r>
      <w:r>
        <w:rPr>
          <w:rFonts w:ascii="Verdana" w:hAnsi="Verdana" w:cs="Georgia"/>
          <w:bCs/>
          <w:color w:val="0000FF"/>
          <w:sz w:val="20"/>
          <w:szCs w:val="20"/>
        </w:rPr>
        <w:t xml:space="preserve"> legal beneficiary in a trade</w:t>
      </w:r>
      <w:r w:rsidR="000E5DEA">
        <w:rPr>
          <w:rFonts w:ascii="Verdana" w:hAnsi="Verdana" w:cs="Georgia"/>
          <w:bCs/>
          <w:color w:val="0000FF"/>
          <w:sz w:val="20"/>
          <w:szCs w:val="20"/>
        </w:rPr>
        <w:t>; the second</w:t>
      </w:r>
      <w:r>
        <w:rPr>
          <w:rFonts w:ascii="Verdana" w:hAnsi="Verdana" w:cs="Georgia"/>
          <w:bCs/>
          <w:color w:val="0000FF"/>
          <w:sz w:val="20"/>
          <w:szCs w:val="20"/>
        </w:rPr>
        <w:t xml:space="preserve"> should be </w:t>
      </w:r>
      <w:r w:rsidR="000E5DEA">
        <w:rPr>
          <w:rFonts w:ascii="Verdana" w:hAnsi="Verdana" w:cs="Georgia"/>
          <w:bCs/>
          <w:color w:val="0000FF"/>
          <w:sz w:val="20"/>
          <w:szCs w:val="20"/>
        </w:rPr>
        <w:t xml:space="preserve">the history silo </w:t>
      </w:r>
      <w:r w:rsidR="000E5DEA">
        <w:rPr>
          <w:rFonts w:ascii="Verdana" w:hAnsi="Verdana" w:cs="Georgia"/>
          <w:bCs/>
          <w:color w:val="0000FF"/>
          <w:sz w:val="20"/>
          <w:szCs w:val="20"/>
        </w:rPr>
        <w:tab/>
        <w:t xml:space="preserve">where participation boundaries are stored chronologically </w:t>
      </w:r>
      <w:proofErr w:type="spellStart"/>
      <w:r w:rsidR="000E5DEA">
        <w:rPr>
          <w:rFonts w:ascii="Verdana" w:hAnsi="Verdana" w:cs="Georgia"/>
          <w:bCs/>
          <w:color w:val="0000FF"/>
          <w:sz w:val="20"/>
          <w:szCs w:val="20"/>
        </w:rPr>
        <w:t>ie</w:t>
      </w:r>
      <w:proofErr w:type="spellEnd"/>
      <w:r w:rsidR="000E5DEA">
        <w:rPr>
          <w:rFonts w:ascii="Verdana" w:hAnsi="Verdana" w:cs="Georgia"/>
          <w:bCs/>
          <w:color w:val="0000FF"/>
          <w:sz w:val="20"/>
          <w:szCs w:val="20"/>
        </w:rPr>
        <w:t xml:space="preserve"> start / end </w:t>
      </w:r>
      <w:r w:rsidR="000E5DEA">
        <w:rPr>
          <w:rFonts w:ascii="Verdana" w:hAnsi="Verdana" w:cs="Georgia"/>
          <w:bCs/>
          <w:color w:val="0000FF"/>
          <w:sz w:val="20"/>
          <w:szCs w:val="20"/>
        </w:rPr>
        <w:tab/>
        <w:t>dates etc.</w:t>
      </w:r>
    </w:p>
    <w:p w:rsidR="000E5DEA" w:rsidRDefault="000E5DEA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0E5DEA" w:rsidRDefault="000E5DEA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2013DE" w:rsidRDefault="00DB49D6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>Q72:  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What   are   the   main   challenges   and   possible   solutions   associated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to   counterparty   codes?   Do   you   consider   that   a   better   identifier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than   a   client   code   could   be   used   for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the  purpose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of  identifying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individuals?</w:t>
      </w:r>
    </w:p>
    <w:p w:rsidR="002013DE" w:rsidRDefault="002013DE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C82798" w:rsidRPr="00AD3EBF" w:rsidRDefault="00AD3EBF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 w:rsidRPr="00AD3EBF">
        <w:rPr>
          <w:rFonts w:ascii="Verdana" w:hAnsi="Verdana" w:cs="Georgia"/>
          <w:bCs/>
          <w:color w:val="0000FF"/>
          <w:sz w:val="20"/>
          <w:szCs w:val="20"/>
        </w:rPr>
        <w:t>CT: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 w:rsidR="002013DE" w:rsidRPr="00AD3EBF">
        <w:rPr>
          <w:rFonts w:ascii="Verdana" w:hAnsi="Verdana" w:cs="Georgia"/>
          <w:bCs/>
          <w:color w:val="0000FF"/>
          <w:sz w:val="20"/>
          <w:szCs w:val="20"/>
        </w:rPr>
        <w:t xml:space="preserve">The main challenges are the creation </w:t>
      </w:r>
      <w:r w:rsidR="00C82798" w:rsidRPr="00AD3EBF">
        <w:rPr>
          <w:rFonts w:ascii="Verdana" w:hAnsi="Verdana" w:cs="Georgia"/>
          <w:bCs/>
          <w:color w:val="0000FF"/>
          <w:sz w:val="20"/>
          <w:szCs w:val="20"/>
        </w:rPr>
        <w:t xml:space="preserve">of a standardized coding system and </w:t>
      </w:r>
      <w:r w:rsidR="00C82798" w:rsidRPr="00AD3EBF">
        <w:rPr>
          <w:rFonts w:ascii="Verdana" w:hAnsi="Verdana" w:cs="Georgia"/>
          <w:bCs/>
          <w:color w:val="0000FF"/>
          <w:sz w:val="20"/>
          <w:szCs w:val="20"/>
        </w:rPr>
        <w:tab/>
        <w:t>then strict, enforced adherence to use of the coding.</w:t>
      </w:r>
      <w:r w:rsidR="002013DE" w:rsidRPr="00AD3EBF">
        <w:rPr>
          <w:rFonts w:ascii="Verdana" w:hAnsi="Verdana" w:cs="Georgia"/>
          <w:bCs/>
          <w:color w:val="0000FF"/>
          <w:sz w:val="20"/>
          <w:szCs w:val="20"/>
        </w:rPr>
        <w:t xml:space="preserve"> </w:t>
      </w:r>
    </w:p>
    <w:p w:rsidR="00C82798" w:rsidRPr="00AD3EBF" w:rsidRDefault="00C82798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AD3EBF" w:rsidRDefault="00C82798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 w:rsidRPr="00AD3EBF">
        <w:rPr>
          <w:rFonts w:ascii="Verdana" w:hAnsi="Verdana" w:cs="Georgia"/>
          <w:bCs/>
          <w:color w:val="0000FF"/>
          <w:sz w:val="20"/>
          <w:szCs w:val="20"/>
        </w:rPr>
        <w:tab/>
        <w:t xml:space="preserve">A powerful solution is the use of mandatory and validated fields within </w:t>
      </w:r>
      <w:r w:rsidRPr="00AD3EBF">
        <w:rPr>
          <w:rFonts w:ascii="Verdana" w:hAnsi="Verdana" w:cs="Georgia"/>
          <w:bCs/>
          <w:color w:val="0000FF"/>
          <w:sz w:val="20"/>
          <w:szCs w:val="20"/>
        </w:rPr>
        <w:tab/>
        <w:t xml:space="preserve">the </w:t>
      </w:r>
      <w:r w:rsidR="00AD3EBF">
        <w:rPr>
          <w:rFonts w:ascii="Verdana" w:hAnsi="Verdana" w:cs="Georgia"/>
          <w:bCs/>
          <w:color w:val="0000FF"/>
          <w:sz w:val="20"/>
          <w:szCs w:val="20"/>
        </w:rPr>
        <w:tab/>
      </w:r>
      <w:r w:rsidRPr="00AD3EBF">
        <w:rPr>
          <w:rFonts w:ascii="Verdana" w:hAnsi="Verdana" w:cs="Georgia"/>
          <w:bCs/>
          <w:color w:val="0000FF"/>
          <w:sz w:val="20"/>
          <w:szCs w:val="20"/>
        </w:rPr>
        <w:t xml:space="preserve">TR data capture </w:t>
      </w:r>
      <w:r w:rsidR="00AD3EBF" w:rsidRPr="00AD3EBF">
        <w:rPr>
          <w:rFonts w:ascii="Verdana" w:hAnsi="Verdana" w:cs="Georgia"/>
          <w:bCs/>
          <w:color w:val="0000FF"/>
          <w:sz w:val="20"/>
          <w:szCs w:val="20"/>
        </w:rPr>
        <w:t xml:space="preserve">spectrum.  Failure to supply the correct </w:t>
      </w:r>
      <w:r w:rsidRPr="00AD3EBF">
        <w:rPr>
          <w:rFonts w:ascii="Verdana" w:hAnsi="Verdana" w:cs="Georgia"/>
          <w:bCs/>
          <w:color w:val="0000FF"/>
          <w:sz w:val="20"/>
          <w:szCs w:val="20"/>
        </w:rPr>
        <w:t xml:space="preserve">codes would </w:t>
      </w:r>
      <w:r w:rsidR="00AD3EBF" w:rsidRPr="00AD3EBF">
        <w:rPr>
          <w:rFonts w:ascii="Verdana" w:hAnsi="Verdana" w:cs="Georgia"/>
          <w:bCs/>
          <w:color w:val="0000FF"/>
          <w:sz w:val="20"/>
          <w:szCs w:val="20"/>
        </w:rPr>
        <w:tab/>
      </w:r>
      <w:r w:rsidRPr="00AD3EBF">
        <w:rPr>
          <w:rFonts w:ascii="Verdana" w:hAnsi="Verdana" w:cs="Georgia"/>
          <w:bCs/>
          <w:color w:val="0000FF"/>
          <w:sz w:val="20"/>
          <w:szCs w:val="20"/>
        </w:rPr>
        <w:t xml:space="preserve">result in the </w:t>
      </w:r>
      <w:r w:rsidR="00AD3EBF">
        <w:rPr>
          <w:rFonts w:ascii="Verdana" w:hAnsi="Verdana" w:cs="Georgia"/>
          <w:bCs/>
          <w:color w:val="0000FF"/>
          <w:sz w:val="20"/>
          <w:szCs w:val="20"/>
        </w:rPr>
        <w:t xml:space="preserve">system paralyzing data entry and / or the </w:t>
      </w:r>
      <w:r w:rsidR="00AD3EBF" w:rsidRPr="00AD3EBF">
        <w:rPr>
          <w:rFonts w:ascii="Verdana" w:hAnsi="Verdana" w:cs="Georgia"/>
          <w:bCs/>
          <w:color w:val="0000FF"/>
          <w:sz w:val="20"/>
          <w:szCs w:val="20"/>
        </w:rPr>
        <w:t xml:space="preserve">creation of </w:t>
      </w:r>
      <w:r w:rsidR="00AD3EBF">
        <w:rPr>
          <w:rFonts w:ascii="Verdana" w:hAnsi="Verdana" w:cs="Georgia"/>
          <w:bCs/>
          <w:color w:val="0000FF"/>
          <w:sz w:val="20"/>
          <w:szCs w:val="20"/>
        </w:rPr>
        <w:tab/>
      </w:r>
      <w:r w:rsidR="00AD3EBF" w:rsidRPr="00AD3EBF">
        <w:rPr>
          <w:rFonts w:ascii="Verdana" w:hAnsi="Verdana" w:cs="Georgia"/>
          <w:bCs/>
          <w:color w:val="0000FF"/>
          <w:sz w:val="20"/>
          <w:szCs w:val="20"/>
        </w:rPr>
        <w:t xml:space="preserve">delinquency </w:t>
      </w:r>
      <w:proofErr w:type="gramStart"/>
      <w:r w:rsidR="00AD3EBF" w:rsidRPr="00AD3EBF">
        <w:rPr>
          <w:rFonts w:ascii="Verdana" w:hAnsi="Verdana" w:cs="Georgia"/>
          <w:bCs/>
          <w:color w:val="0000FF"/>
          <w:sz w:val="20"/>
          <w:szCs w:val="20"/>
        </w:rPr>
        <w:t>notices</w:t>
      </w:r>
      <w:r w:rsidR="00AD3EBF">
        <w:rPr>
          <w:rFonts w:ascii="Verdana" w:hAnsi="Verdana" w:cs="Georgia"/>
          <w:bCs/>
          <w:color w:val="0000FF"/>
          <w:sz w:val="20"/>
          <w:szCs w:val="20"/>
        </w:rPr>
        <w:t xml:space="preserve"> which</w:t>
      </w:r>
      <w:proofErr w:type="gramEnd"/>
      <w:r w:rsidR="00AD3EBF">
        <w:rPr>
          <w:rFonts w:ascii="Verdana" w:hAnsi="Verdana" w:cs="Georgia"/>
          <w:bCs/>
          <w:color w:val="0000FF"/>
          <w:sz w:val="20"/>
          <w:szCs w:val="20"/>
        </w:rPr>
        <w:t xml:space="preserve"> in turn, provide the basis for reprisal. </w:t>
      </w:r>
    </w:p>
    <w:p w:rsidR="00AD3EBF" w:rsidRDefault="00AD3EBF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AD3EBF" w:rsidRDefault="00AD3EBF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The use of client codes is sufficient as long as they accurately identify the </w:t>
      </w:r>
      <w:r>
        <w:rPr>
          <w:rFonts w:ascii="Verdana" w:hAnsi="Verdana" w:cs="Georgia"/>
          <w:bCs/>
          <w:color w:val="0000FF"/>
          <w:sz w:val="20"/>
          <w:szCs w:val="20"/>
        </w:rPr>
        <w:tab/>
        <w:t>legal participant / beneficiary.</w:t>
      </w:r>
    </w:p>
    <w:p w:rsidR="00AD3EBF" w:rsidRDefault="00AD3EBF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DB49D6" w:rsidRPr="00AD3EBF" w:rsidRDefault="00DB49D6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AD3EBF" w:rsidRDefault="00AD3EBF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Q73:  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What  taxonomy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and  codes  should  be  used  for  identifying  derivatives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products  when   reporting  to  </w:t>
      </w:r>
      <w:proofErr w:type="spellStart"/>
      <w:r>
        <w:rPr>
          <w:rFonts w:ascii="Georgia" w:hAnsi="Georgia" w:cs="Georgia"/>
          <w:b/>
          <w:bCs/>
          <w:color w:val="000000"/>
          <w:sz w:val="20"/>
          <w:szCs w:val="20"/>
        </w:rPr>
        <w:t>TRs</w:t>
      </w:r>
      <w:proofErr w:type="spellEnd"/>
      <w:r>
        <w:rPr>
          <w:rFonts w:ascii="Georgia" w:hAnsi="Georgia" w:cs="Georgia"/>
          <w:b/>
          <w:bCs/>
          <w:color w:val="000000"/>
          <w:sz w:val="20"/>
          <w:szCs w:val="20"/>
        </w:rPr>
        <w:t>,  particularly  as  regards  commodities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or  other  assets  for  which  ISIN   cannot   be   used?   In   which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circumstances   should   baskets   be   flagged   as   such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,   or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 should   their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composition   be   identified   as   well   and   how?   Is   there   any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particular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aspect  to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be  considered  as  regards  a  possible  UPI?</w:t>
      </w:r>
    </w:p>
    <w:p w:rsidR="00AD3EBF" w:rsidRDefault="00AD3EBF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716057" w:rsidRPr="00716057" w:rsidRDefault="00AD3EBF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 w:rsidRPr="00716057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716057">
        <w:rPr>
          <w:rFonts w:ascii="Verdana" w:hAnsi="Verdana" w:cs="Georgia"/>
          <w:bCs/>
          <w:color w:val="0000FF"/>
          <w:sz w:val="20"/>
          <w:szCs w:val="20"/>
        </w:rPr>
        <w:tab/>
        <w:t xml:space="preserve">We are agnostic to the taxonomy and codes – the TR simply requires the </w:t>
      </w:r>
      <w:r w:rsidR="00716057" w:rsidRPr="00716057">
        <w:rPr>
          <w:rFonts w:ascii="Verdana" w:hAnsi="Verdana" w:cs="Georgia"/>
          <w:bCs/>
          <w:color w:val="0000FF"/>
          <w:sz w:val="20"/>
          <w:szCs w:val="20"/>
        </w:rPr>
        <w:tab/>
      </w:r>
      <w:r w:rsidRPr="00716057">
        <w:rPr>
          <w:rFonts w:ascii="Verdana" w:hAnsi="Verdana" w:cs="Georgia"/>
          <w:bCs/>
          <w:color w:val="0000FF"/>
          <w:sz w:val="20"/>
          <w:szCs w:val="20"/>
        </w:rPr>
        <w:t xml:space="preserve">final, agreed </w:t>
      </w:r>
      <w:r w:rsidR="00716057" w:rsidRPr="00716057">
        <w:rPr>
          <w:rFonts w:ascii="Verdana" w:hAnsi="Verdana" w:cs="Georgia"/>
          <w:bCs/>
          <w:color w:val="0000FF"/>
          <w:sz w:val="20"/>
          <w:szCs w:val="20"/>
        </w:rPr>
        <w:t xml:space="preserve">field headers so as to create the capture fields and </w:t>
      </w:r>
      <w:r w:rsidR="00716057" w:rsidRPr="00716057">
        <w:rPr>
          <w:rFonts w:ascii="Verdana" w:hAnsi="Verdana" w:cs="Georgia"/>
          <w:bCs/>
          <w:color w:val="0000FF"/>
          <w:sz w:val="20"/>
          <w:szCs w:val="20"/>
        </w:rPr>
        <w:tab/>
        <w:t xml:space="preserve">associated validation rules. </w:t>
      </w:r>
    </w:p>
    <w:p w:rsidR="00716057" w:rsidRPr="00716057" w:rsidRDefault="00716057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716057" w:rsidRDefault="00716057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 w:rsidRPr="00716057">
        <w:rPr>
          <w:rFonts w:ascii="Verdana" w:hAnsi="Verdana" w:cs="Georgia"/>
          <w:bCs/>
          <w:color w:val="0000FF"/>
          <w:sz w:val="20"/>
          <w:szCs w:val="20"/>
        </w:rPr>
        <w:tab/>
        <w:t xml:space="preserve">Re: basket / contents notification… transparency is just that; all should be </w:t>
      </w:r>
      <w:r w:rsidRPr="00716057">
        <w:rPr>
          <w:rFonts w:ascii="Verdana" w:hAnsi="Verdana" w:cs="Georgia"/>
          <w:bCs/>
          <w:color w:val="0000FF"/>
          <w:sz w:val="20"/>
          <w:szCs w:val="20"/>
        </w:rPr>
        <w:tab/>
        <w:t xml:space="preserve">lodged with the TR for scrutiny if required. </w:t>
      </w:r>
    </w:p>
    <w:p w:rsidR="00716057" w:rsidRDefault="00716057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DB49D6" w:rsidRPr="00716057" w:rsidRDefault="00DB49D6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2B2400" w:rsidRDefault="00716057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Q74:     How   complex   would   be   for   counterparties   to   agree   on   a   trade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ID   to   be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communicated  to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the  TR  for  bilaterally  executed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transactions?  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If  such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a  procedure  is   unfeasible,  what  would  the  best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solution  be  to  generate  the  trade  ID?</w:t>
      </w:r>
    </w:p>
    <w:p w:rsidR="002B2400" w:rsidRDefault="002B2400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630DF3" w:rsidRPr="00630DF3" w:rsidRDefault="002B2400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 w:rsidRPr="00630DF3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630DF3">
        <w:rPr>
          <w:rFonts w:ascii="Verdana" w:hAnsi="Verdana" w:cs="Georgia"/>
          <w:bCs/>
          <w:color w:val="0000FF"/>
          <w:sz w:val="20"/>
          <w:szCs w:val="20"/>
        </w:rPr>
        <w:tab/>
      </w:r>
      <w:r w:rsidR="00630DF3" w:rsidRPr="00630DF3">
        <w:rPr>
          <w:rFonts w:ascii="Verdana" w:hAnsi="Verdana" w:cs="Georgia"/>
          <w:bCs/>
          <w:color w:val="0000FF"/>
          <w:sz w:val="20"/>
          <w:szCs w:val="20"/>
        </w:rPr>
        <w:t xml:space="preserve">Again, we are agnostic as to coding methodology, the important issue is </w:t>
      </w:r>
      <w:r w:rsidR="00630DF3" w:rsidRPr="00630DF3">
        <w:rPr>
          <w:rFonts w:ascii="Verdana" w:hAnsi="Verdana" w:cs="Georgia"/>
          <w:bCs/>
          <w:color w:val="0000FF"/>
          <w:sz w:val="20"/>
          <w:szCs w:val="20"/>
        </w:rPr>
        <w:tab/>
        <w:t xml:space="preserve">its accurate communication to the </w:t>
      </w:r>
      <w:proofErr w:type="spellStart"/>
      <w:r w:rsidR="00630DF3" w:rsidRPr="00630DF3">
        <w:rPr>
          <w:rFonts w:ascii="Verdana" w:hAnsi="Verdana" w:cs="Georgia"/>
          <w:bCs/>
          <w:color w:val="0000FF"/>
          <w:sz w:val="20"/>
          <w:szCs w:val="20"/>
        </w:rPr>
        <w:t>TR’s</w:t>
      </w:r>
      <w:proofErr w:type="spellEnd"/>
      <w:r w:rsidR="00630DF3" w:rsidRPr="00630DF3">
        <w:rPr>
          <w:rFonts w:ascii="Verdana" w:hAnsi="Verdana" w:cs="Georgia"/>
          <w:bCs/>
          <w:color w:val="0000FF"/>
          <w:sz w:val="20"/>
          <w:szCs w:val="20"/>
        </w:rPr>
        <w:t xml:space="preserve"> for set up and monitoring – as </w:t>
      </w:r>
      <w:r w:rsidR="00630DF3" w:rsidRPr="00630DF3">
        <w:rPr>
          <w:rFonts w:ascii="Verdana" w:hAnsi="Verdana" w:cs="Georgia"/>
          <w:bCs/>
          <w:color w:val="0000FF"/>
          <w:sz w:val="20"/>
          <w:szCs w:val="20"/>
        </w:rPr>
        <w:tab/>
        <w:t>above.</w:t>
      </w:r>
    </w:p>
    <w:p w:rsidR="000E5DEA" w:rsidRPr="00630DF3" w:rsidRDefault="000E5DEA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0E5DEA" w:rsidRDefault="000E5DEA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630DF3" w:rsidRDefault="005E34A7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Verdana" w:hAnsi="Verdana" w:cs="Georgia"/>
          <w:bCs/>
          <w:color w:val="0000FF"/>
          <w:sz w:val="20"/>
          <w:szCs w:val="20"/>
        </w:rPr>
        <w:t xml:space="preserve"> </w:t>
      </w:r>
      <w:r w:rsidR="00630DF3">
        <w:rPr>
          <w:rFonts w:ascii="Georgia" w:hAnsi="Georgia" w:cs="Georgia"/>
          <w:b/>
          <w:bCs/>
          <w:color w:val="000000"/>
          <w:sz w:val="20"/>
          <w:szCs w:val="20"/>
        </w:rPr>
        <w:t xml:space="preserve">Q75:    Would   information   about   fees   incorporated   into   pricing   of   trades   </w:t>
      </w:r>
      <w:r w:rsidR="00630DF3">
        <w:rPr>
          <w:rFonts w:ascii="Georgia" w:hAnsi="Georgia" w:cs="Georgia"/>
          <w:b/>
          <w:bCs/>
          <w:color w:val="000000"/>
          <w:sz w:val="20"/>
          <w:szCs w:val="20"/>
        </w:rPr>
        <w:tab/>
        <w:t>be   feasible   to   extract</w:t>
      </w:r>
      <w:proofErr w:type="gramStart"/>
      <w:r w:rsidR="00630DF3">
        <w:rPr>
          <w:rFonts w:ascii="Georgia" w:hAnsi="Georgia" w:cs="Georgia"/>
          <w:b/>
          <w:bCs/>
          <w:color w:val="000000"/>
          <w:sz w:val="20"/>
          <w:szCs w:val="20"/>
        </w:rPr>
        <w:t>,  in</w:t>
      </w:r>
      <w:proofErr w:type="gramEnd"/>
      <w:r w:rsidR="00630DF3">
        <w:rPr>
          <w:rFonts w:ascii="Georgia" w:hAnsi="Georgia" w:cs="Georgia"/>
          <w:b/>
          <w:bCs/>
          <w:color w:val="000000"/>
          <w:sz w:val="20"/>
          <w:szCs w:val="20"/>
        </w:rPr>
        <w:t xml:space="preserve">  your  view?  </w:t>
      </w:r>
    </w:p>
    <w:p w:rsidR="00630DF3" w:rsidRDefault="00630DF3" w:rsidP="0064468A">
      <w:pPr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630DF3" w:rsidRDefault="00630DF3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 w:rsidRPr="00630DF3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630DF3">
        <w:rPr>
          <w:rFonts w:ascii="Verdana" w:hAnsi="Verdana" w:cs="Georgia"/>
          <w:bCs/>
          <w:color w:val="0000FF"/>
          <w:sz w:val="20"/>
          <w:szCs w:val="20"/>
        </w:rPr>
        <w:tab/>
        <w:t>As above</w:t>
      </w:r>
    </w:p>
    <w:p w:rsidR="00630DF3" w:rsidRDefault="00630DF3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630DF3" w:rsidRDefault="00630DF3" w:rsidP="0064468A">
      <w:pPr>
        <w:rPr>
          <w:rFonts w:ascii="Verdana" w:hAnsi="Verdana" w:cs="Georgia"/>
          <w:bCs/>
          <w:color w:val="0000FF"/>
          <w:sz w:val="20"/>
          <w:szCs w:val="20"/>
        </w:rPr>
      </w:pP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       </w:t>
      </w:r>
      <w:r w:rsidRPr="00630DF3">
        <w:rPr>
          <w:rFonts w:ascii="Verdana" w:hAnsi="Verdana" w:cs="Georgia"/>
          <w:bCs/>
          <w:noProof/>
          <w:color w:val="0000FF"/>
          <w:sz w:val="20"/>
          <w:szCs w:val="20"/>
        </w:rPr>
        <w:drawing>
          <wp:inline distT="0" distB="0" distL="0" distR="0">
            <wp:extent cx="2150842" cy="419075"/>
            <wp:effectExtent l="25400" t="0" r="8158" b="0"/>
            <wp:docPr id="10" name="Picture 1" descr="CT logo -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 logo - 20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011" cy="42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DF3" w:rsidRDefault="00630DF3" w:rsidP="0064468A">
      <w:pPr>
        <w:rPr>
          <w:rFonts w:ascii="Verdana" w:hAnsi="Verdana" w:cs="Georgia"/>
          <w:bCs/>
          <w:color w:val="0000FF"/>
          <w:sz w:val="20"/>
          <w:szCs w:val="20"/>
        </w:rPr>
      </w:pPr>
    </w:p>
    <w:p w:rsidR="000E1A94" w:rsidRDefault="00630DF3" w:rsidP="0064468A">
      <w:pPr>
        <w:rPr>
          <w:rFonts w:ascii="Verdana" w:hAnsi="Verdana" w:cs="Georgia"/>
          <w:b/>
          <w:bCs/>
          <w:color w:val="0000FF"/>
          <w:sz w:val="20"/>
          <w:szCs w:val="20"/>
        </w:rPr>
      </w:pPr>
      <w:r w:rsidRPr="00630DF3">
        <w:rPr>
          <w:rFonts w:ascii="Verdana" w:hAnsi="Verdana" w:cs="Georgia"/>
          <w:b/>
          <w:bCs/>
          <w:color w:val="0000FF"/>
          <w:sz w:val="20"/>
          <w:szCs w:val="20"/>
        </w:rPr>
        <w:t>ESMA</w:t>
      </w:r>
      <w:r w:rsidR="007F0F71">
        <w:rPr>
          <w:rFonts w:ascii="Verdana" w:hAnsi="Verdana" w:cs="Georgia"/>
          <w:b/>
          <w:bCs/>
          <w:color w:val="0000FF"/>
          <w:sz w:val="20"/>
          <w:szCs w:val="20"/>
        </w:rPr>
        <w:t xml:space="preserve"> cont.</w:t>
      </w:r>
    </w:p>
    <w:p w:rsidR="000E1A94" w:rsidRDefault="000E1A94" w:rsidP="0064468A">
      <w:pPr>
        <w:rPr>
          <w:rFonts w:ascii="Verdana" w:hAnsi="Verdana" w:cs="Georgia"/>
          <w:b/>
          <w:bCs/>
          <w:color w:val="0000FF"/>
          <w:sz w:val="20"/>
          <w:szCs w:val="20"/>
        </w:rPr>
      </w:pPr>
    </w:p>
    <w:p w:rsidR="00203677" w:rsidRDefault="000E1A94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>Q76:  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What  is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your  view  of  the  granularity  level  of  the  information  to  be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requested  under   these  fields  and  in  particular  the  format  as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suggested  in  the  attached  table?</w:t>
      </w:r>
    </w:p>
    <w:p w:rsidR="00203677" w:rsidRDefault="00203677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242D02" w:rsidRPr="00242D02" w:rsidRDefault="00203677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242D02">
        <w:rPr>
          <w:rFonts w:ascii="Verdana" w:hAnsi="Verdana" w:cs="Georgia"/>
          <w:bCs/>
          <w:color w:val="0000FF"/>
          <w:sz w:val="20"/>
          <w:szCs w:val="20"/>
        </w:rPr>
        <w:t>CT</w:t>
      </w:r>
      <w:proofErr w:type="gramStart"/>
      <w:r w:rsidRPr="00242D02">
        <w:rPr>
          <w:rFonts w:ascii="Verdana" w:hAnsi="Verdana" w:cs="Georgia"/>
          <w:bCs/>
          <w:color w:val="0000FF"/>
          <w:sz w:val="20"/>
          <w:szCs w:val="20"/>
        </w:rPr>
        <w:t>:</w:t>
      </w:r>
      <w:r w:rsidRPr="00242D02">
        <w:rPr>
          <w:rFonts w:ascii="Verdana" w:hAnsi="Verdana" w:cs="Georgia"/>
          <w:bCs/>
          <w:color w:val="0000FF"/>
          <w:sz w:val="20"/>
          <w:szCs w:val="20"/>
        </w:rPr>
        <w:tab/>
      </w:r>
      <w:r w:rsidR="008A2305" w:rsidRPr="00242D02">
        <w:rPr>
          <w:rFonts w:ascii="Verdana" w:hAnsi="Verdana" w:cs="Georgia"/>
          <w:bCs/>
          <w:color w:val="0000FF"/>
          <w:sz w:val="20"/>
          <w:szCs w:val="20"/>
        </w:rPr>
        <w:t xml:space="preserve">Risk mitigation is made robust by </w:t>
      </w:r>
      <w:r w:rsidR="00242D02" w:rsidRPr="00242D02">
        <w:rPr>
          <w:rFonts w:ascii="Verdana" w:hAnsi="Verdana" w:cs="Georgia"/>
          <w:bCs/>
          <w:color w:val="0000FF"/>
          <w:sz w:val="20"/>
          <w:szCs w:val="20"/>
        </w:rPr>
        <w:t>high levels of granularity</w:t>
      </w:r>
      <w:proofErr w:type="gramEnd"/>
      <w:r w:rsidR="00242D02" w:rsidRPr="00242D02">
        <w:rPr>
          <w:rFonts w:ascii="Verdana" w:hAnsi="Verdana" w:cs="Georgia"/>
          <w:bCs/>
          <w:color w:val="0000FF"/>
          <w:sz w:val="20"/>
          <w:szCs w:val="20"/>
        </w:rPr>
        <w:t xml:space="preserve">.  If detail is </w:t>
      </w:r>
      <w:r w:rsidR="00242D02" w:rsidRPr="00242D02">
        <w:rPr>
          <w:rFonts w:ascii="Verdana" w:hAnsi="Verdana" w:cs="Georgia"/>
          <w:bCs/>
          <w:color w:val="0000FF"/>
          <w:sz w:val="20"/>
          <w:szCs w:val="20"/>
        </w:rPr>
        <w:tab/>
        <w:t xml:space="preserve">omitted, you negate the value of any data collection process where it is to </w:t>
      </w:r>
      <w:r w:rsidR="00242D02" w:rsidRPr="00242D02">
        <w:rPr>
          <w:rFonts w:ascii="Verdana" w:hAnsi="Verdana" w:cs="Georgia"/>
          <w:bCs/>
          <w:color w:val="0000FF"/>
          <w:sz w:val="20"/>
          <w:szCs w:val="20"/>
        </w:rPr>
        <w:tab/>
        <w:t xml:space="preserve">be used for dispute / default management. </w:t>
      </w:r>
    </w:p>
    <w:p w:rsidR="00242D02" w:rsidRPr="00242D02" w:rsidRDefault="00242D02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242D02" w:rsidRDefault="00242D02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242D02">
        <w:rPr>
          <w:rFonts w:ascii="Verdana" w:hAnsi="Verdana" w:cs="Georgia"/>
          <w:bCs/>
          <w:color w:val="0000FF"/>
          <w:sz w:val="20"/>
          <w:szCs w:val="20"/>
        </w:rPr>
        <w:tab/>
        <w:t>The attached table format is adequate.</w:t>
      </w:r>
    </w:p>
    <w:p w:rsidR="00242D02" w:rsidRDefault="00242D02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242D02" w:rsidRPr="00242D02" w:rsidRDefault="00242D02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242D02" w:rsidRPr="00242D02" w:rsidRDefault="005D311E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>Q77:  </w:t>
      </w:r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 xml:space="preserve">Are </w:t>
      </w:r>
      <w:proofErr w:type="gramStart"/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>the  elements</w:t>
      </w:r>
      <w:proofErr w:type="gramEnd"/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 xml:space="preserve">  in  the  attached  table  appropriate  in  number  and  </w:t>
      </w:r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scope  for  each  of   these   classes?   Would   there   be   any   additional   </w:t>
      </w:r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class-­specific   elements   that   should   be   considered, particularly   as   </w:t>
      </w:r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ab/>
        <w:t>regards   credit</w:t>
      </w:r>
      <w:proofErr w:type="gramStart"/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>,   equity</w:t>
      </w:r>
      <w:proofErr w:type="gramEnd"/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 xml:space="preserve">   and   commodity   derivatives?   As   regards </w:t>
      </w:r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ab/>
        <w:t>format</w:t>
      </w:r>
      <w:proofErr w:type="gramStart"/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>,  comments</w:t>
      </w:r>
      <w:proofErr w:type="gramEnd"/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 xml:space="preserve">  are  welcome  on  the  possible  codes  listed  in  the  </w:t>
      </w:r>
      <w:r w:rsidR="00242D02">
        <w:rPr>
          <w:rFonts w:ascii="Georgia" w:hAnsi="Georgia" w:cs="Georgia"/>
          <w:b/>
          <w:bCs/>
          <w:color w:val="000000"/>
          <w:sz w:val="20"/>
          <w:szCs w:val="20"/>
        </w:rPr>
        <w:tab/>
        <w:t>table.</w:t>
      </w:r>
    </w:p>
    <w:p w:rsidR="00242D02" w:rsidRDefault="00242D02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1A1E8D" w:rsidRDefault="005D311E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1A1E8D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1A1E8D">
        <w:rPr>
          <w:rFonts w:ascii="Verdana" w:hAnsi="Verdana" w:cs="Georgia"/>
          <w:bCs/>
          <w:color w:val="0000FF"/>
          <w:sz w:val="20"/>
          <w:szCs w:val="20"/>
        </w:rPr>
        <w:tab/>
      </w:r>
      <w:r w:rsidR="001A1E8D" w:rsidRPr="001A1E8D">
        <w:rPr>
          <w:rFonts w:ascii="Verdana" w:hAnsi="Verdana" w:cs="Georgia"/>
          <w:bCs/>
          <w:color w:val="0000FF"/>
          <w:sz w:val="20"/>
          <w:szCs w:val="20"/>
        </w:rPr>
        <w:t>As above.</w:t>
      </w:r>
    </w:p>
    <w:p w:rsidR="001A1E8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1A1E8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1A1E8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Q78:  Given   that   daily   mark-­to-­market   valuations   are   required   to   be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calculated   by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counterparties  under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[Article  6/8]  of  EMIR,  how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complex  would  it  be  to  report  data   on   exposures   and   how   could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this   be   made   possible,   particularly   in   the   case   of   bilateral  trades,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and  in  which  implementation  timeline?  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Would  the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same  arguments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also  apply  to  the  reporting  of  collateral?</w:t>
      </w:r>
    </w:p>
    <w:p w:rsidR="001A1E8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1A1E8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1A1E8D">
        <w:rPr>
          <w:rFonts w:ascii="Verdana" w:hAnsi="Verdana" w:cs="Georgia"/>
          <w:bCs/>
          <w:color w:val="0000FF"/>
          <w:sz w:val="20"/>
          <w:szCs w:val="20"/>
        </w:rPr>
        <w:t xml:space="preserve">CT: </w:t>
      </w:r>
      <w:r w:rsidRPr="001A1E8D">
        <w:rPr>
          <w:rFonts w:ascii="Verdana" w:hAnsi="Verdana" w:cs="Georgia"/>
          <w:bCs/>
          <w:color w:val="0000FF"/>
          <w:sz w:val="20"/>
          <w:szCs w:val="20"/>
        </w:rPr>
        <w:tab/>
        <w:t>As above.</w:t>
      </w:r>
    </w:p>
    <w:p w:rsidR="001A1E8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1A1E8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1A1E8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Q79:  Do   you   agree   with   this   proposed   approach?   What   are   in   your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view   the   main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challenges  in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third  party  reporting  and  the  best  ways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to  address  them?</w:t>
      </w:r>
    </w:p>
    <w:p w:rsidR="001A1E8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1A1E8D" w:rsidRPr="0052350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52350D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52350D">
        <w:rPr>
          <w:rFonts w:ascii="Verdana" w:hAnsi="Verdana" w:cs="Georgia"/>
          <w:bCs/>
          <w:color w:val="0000FF"/>
          <w:sz w:val="20"/>
          <w:szCs w:val="20"/>
        </w:rPr>
        <w:tab/>
        <w:t xml:space="preserve">Delegation must never remove or dilute responsibility. </w:t>
      </w:r>
    </w:p>
    <w:p w:rsidR="001A1E8D" w:rsidRPr="0052350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52350D" w:rsidRPr="0052350D" w:rsidRDefault="001A1E8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52350D">
        <w:rPr>
          <w:rFonts w:ascii="Verdana" w:hAnsi="Verdana" w:cs="Georgia"/>
          <w:bCs/>
          <w:color w:val="0000FF"/>
          <w:sz w:val="20"/>
          <w:szCs w:val="20"/>
        </w:rPr>
        <w:tab/>
        <w:t xml:space="preserve">A third party must be approved as being compliant / competent in all areas </w:t>
      </w:r>
      <w:r w:rsidR="0052350D" w:rsidRPr="0052350D">
        <w:rPr>
          <w:rFonts w:ascii="Verdana" w:hAnsi="Verdana" w:cs="Georgia"/>
          <w:bCs/>
          <w:color w:val="0000FF"/>
          <w:sz w:val="20"/>
          <w:szCs w:val="20"/>
        </w:rPr>
        <w:tab/>
      </w:r>
      <w:r w:rsidRPr="0052350D">
        <w:rPr>
          <w:rFonts w:ascii="Verdana" w:hAnsi="Verdana" w:cs="Georgia"/>
          <w:bCs/>
          <w:color w:val="0000FF"/>
          <w:sz w:val="20"/>
          <w:szCs w:val="20"/>
        </w:rPr>
        <w:t xml:space="preserve">of data management and should be deemed responsible for adherence to </w:t>
      </w:r>
      <w:r w:rsidR="0052350D" w:rsidRPr="0052350D">
        <w:rPr>
          <w:rFonts w:ascii="Verdana" w:hAnsi="Verdana" w:cs="Georgia"/>
          <w:bCs/>
          <w:color w:val="0000FF"/>
          <w:sz w:val="20"/>
          <w:szCs w:val="20"/>
        </w:rPr>
        <w:tab/>
      </w:r>
      <w:r w:rsidRPr="0052350D">
        <w:rPr>
          <w:rFonts w:ascii="Verdana" w:hAnsi="Verdana" w:cs="Georgia"/>
          <w:bCs/>
          <w:color w:val="0000FF"/>
          <w:sz w:val="20"/>
          <w:szCs w:val="20"/>
        </w:rPr>
        <w:t>its employer contract.  Any de</w:t>
      </w:r>
      <w:r w:rsidR="0052350D" w:rsidRPr="0052350D">
        <w:rPr>
          <w:rFonts w:ascii="Verdana" w:hAnsi="Verdana" w:cs="Georgia"/>
          <w:bCs/>
          <w:color w:val="0000FF"/>
          <w:sz w:val="20"/>
          <w:szCs w:val="20"/>
        </w:rPr>
        <w:t xml:space="preserve">reliction of duty that remains unresolved </w:t>
      </w:r>
      <w:r w:rsidR="0052350D" w:rsidRPr="0052350D">
        <w:rPr>
          <w:rFonts w:ascii="Verdana" w:hAnsi="Verdana" w:cs="Georgia"/>
          <w:bCs/>
          <w:color w:val="0000FF"/>
          <w:sz w:val="20"/>
          <w:szCs w:val="20"/>
        </w:rPr>
        <w:tab/>
        <w:t xml:space="preserve">after a short time </w:t>
      </w:r>
      <w:proofErr w:type="gramStart"/>
      <w:r w:rsidR="0052350D" w:rsidRPr="0052350D">
        <w:rPr>
          <w:rFonts w:ascii="Verdana" w:hAnsi="Verdana" w:cs="Georgia"/>
          <w:bCs/>
          <w:color w:val="0000FF"/>
          <w:sz w:val="20"/>
          <w:szCs w:val="20"/>
        </w:rPr>
        <w:t>frame,</w:t>
      </w:r>
      <w:proofErr w:type="gramEnd"/>
      <w:r w:rsidR="0052350D" w:rsidRPr="0052350D">
        <w:rPr>
          <w:rFonts w:ascii="Verdana" w:hAnsi="Verdana" w:cs="Georgia"/>
          <w:bCs/>
          <w:color w:val="0000FF"/>
          <w:sz w:val="20"/>
          <w:szCs w:val="20"/>
        </w:rPr>
        <w:t xml:space="preserve"> should see the responsibility actively pushed back </w:t>
      </w:r>
      <w:r w:rsidR="0052350D" w:rsidRPr="0052350D">
        <w:rPr>
          <w:rFonts w:ascii="Verdana" w:hAnsi="Verdana" w:cs="Georgia"/>
          <w:bCs/>
          <w:color w:val="0000FF"/>
          <w:sz w:val="20"/>
          <w:szCs w:val="20"/>
        </w:rPr>
        <w:tab/>
        <w:t>to the counterparty.</w:t>
      </w:r>
    </w:p>
    <w:p w:rsidR="0052350D" w:rsidRPr="0052350D" w:rsidRDefault="0052350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52350D" w:rsidRPr="0052350D" w:rsidRDefault="0052350D" w:rsidP="000E1A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52350D">
        <w:rPr>
          <w:rFonts w:ascii="Verdana" w:hAnsi="Verdana" w:cs="Georgia"/>
          <w:bCs/>
          <w:color w:val="0000FF"/>
          <w:sz w:val="20"/>
          <w:szCs w:val="20"/>
        </w:rPr>
        <w:t xml:space="preserve"> </w:t>
      </w:r>
      <w:r w:rsidR="001A1E8D" w:rsidRPr="0052350D">
        <w:rPr>
          <w:rFonts w:ascii="Verdana" w:hAnsi="Verdana" w:cs="Georgia"/>
          <w:bCs/>
          <w:color w:val="0000FF"/>
          <w:sz w:val="20"/>
          <w:szCs w:val="20"/>
        </w:rPr>
        <w:t xml:space="preserve"> </w:t>
      </w:r>
      <w:r w:rsidRPr="0052350D">
        <w:rPr>
          <w:rFonts w:ascii="Verdana" w:hAnsi="Verdana" w:cs="Georgia"/>
          <w:bCs/>
          <w:color w:val="0000FF"/>
          <w:sz w:val="20"/>
          <w:szCs w:val="20"/>
        </w:rPr>
        <w:tab/>
        <w:t xml:space="preserve">In this instance, </w:t>
      </w:r>
      <w:proofErr w:type="spellStart"/>
      <w:r w:rsidRPr="0052350D">
        <w:rPr>
          <w:rFonts w:ascii="Verdana" w:hAnsi="Verdana" w:cs="Georgia"/>
          <w:bCs/>
          <w:color w:val="0000FF"/>
          <w:sz w:val="20"/>
          <w:szCs w:val="20"/>
        </w:rPr>
        <w:t>TR’s</w:t>
      </w:r>
      <w:proofErr w:type="spellEnd"/>
      <w:r w:rsidRPr="0052350D">
        <w:rPr>
          <w:rFonts w:ascii="Verdana" w:hAnsi="Verdana" w:cs="Georgia"/>
          <w:bCs/>
          <w:color w:val="0000FF"/>
          <w:sz w:val="20"/>
          <w:szCs w:val="20"/>
        </w:rPr>
        <w:t xml:space="preserve"> prove their value many times over as they can </w:t>
      </w:r>
      <w:r w:rsidRPr="0052350D">
        <w:rPr>
          <w:rFonts w:ascii="Verdana" w:hAnsi="Verdana" w:cs="Georgia"/>
          <w:bCs/>
          <w:color w:val="0000FF"/>
          <w:sz w:val="20"/>
          <w:szCs w:val="20"/>
        </w:rPr>
        <w:tab/>
        <w:t xml:space="preserve">independently report on a delinquent situation and then escalation by a </w:t>
      </w:r>
      <w:r w:rsidRPr="0052350D">
        <w:rPr>
          <w:rFonts w:ascii="Verdana" w:hAnsi="Verdana" w:cs="Georgia"/>
          <w:bCs/>
          <w:color w:val="0000FF"/>
          <w:sz w:val="20"/>
          <w:szCs w:val="20"/>
        </w:rPr>
        <w:tab/>
        <w:t>competent authority becomes tangible, transparent and time effective.</w:t>
      </w:r>
    </w:p>
    <w:p w:rsidR="00F90782" w:rsidRDefault="00F90782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F90782" w:rsidRDefault="00F90782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F90782" w:rsidRDefault="00F90782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>Q80:  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Do  you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envisage  any  issues  in  providing the information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>/documentation  as  outlined   above?  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In  particular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>:  </w:t>
      </w:r>
    </w:p>
    <w:p w:rsidR="00F90782" w:rsidRDefault="00F90782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</w:t>
      </w:r>
    </w:p>
    <w:p w:rsidR="00F90782" w:rsidRDefault="00F90782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a)</w:t>
      </w:r>
      <w:r w:rsidR="00FA7F89">
        <w:rPr>
          <w:rFonts w:ascii="Georgia" w:hAnsi="Georgia" w:cs="Georgia"/>
          <w:b/>
          <w:bCs/>
          <w:color w:val="000000"/>
          <w:sz w:val="20"/>
          <w:szCs w:val="20"/>
        </w:rPr>
        <w:t xml:space="preserve"> 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what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 would   the   appropriate   timeline   over   which   ESMA   </w:t>
      </w:r>
      <w:r w:rsidR="00FA7F89"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 w:rsidR="00FA7F89"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     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should   be   requesting   business  plans  (e.g.  1,  3,  5  years?)  </w:t>
      </w:r>
    </w:p>
    <w:p w:rsidR="00FA7F89" w:rsidRDefault="00FA7F89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       </w:t>
      </w:r>
      <w:r w:rsidRPr="00FA7F89">
        <w:rPr>
          <w:rFonts w:ascii="Georgia" w:hAnsi="Georgia" w:cs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2150842" cy="419075"/>
            <wp:effectExtent l="25400" t="0" r="8158" b="0"/>
            <wp:docPr id="11" name="Picture 1" descr="CT logo -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 logo - 20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1011" cy="42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F89" w:rsidRDefault="00FA7F89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FA7F89" w:rsidRPr="00FA7F89" w:rsidRDefault="00FA7F89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/>
          <w:bCs/>
          <w:color w:val="0000FF"/>
          <w:sz w:val="20"/>
          <w:szCs w:val="20"/>
        </w:rPr>
      </w:pPr>
      <w:r w:rsidRPr="00FA7F89">
        <w:rPr>
          <w:rFonts w:ascii="Verdana" w:hAnsi="Verdana" w:cs="Georgia"/>
          <w:b/>
          <w:bCs/>
          <w:color w:val="0000FF"/>
          <w:sz w:val="20"/>
          <w:szCs w:val="20"/>
        </w:rPr>
        <w:t>ESMA</w:t>
      </w:r>
      <w:r w:rsidR="007F0F71">
        <w:rPr>
          <w:rFonts w:ascii="Verdana" w:hAnsi="Verdana" w:cs="Georgia"/>
          <w:b/>
          <w:bCs/>
          <w:color w:val="0000FF"/>
          <w:sz w:val="20"/>
          <w:szCs w:val="20"/>
        </w:rPr>
        <w:t xml:space="preserve"> cont.</w:t>
      </w:r>
    </w:p>
    <w:p w:rsidR="00FA7F89" w:rsidRDefault="00FA7F89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FA7F89" w:rsidRDefault="00FA7F89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FA7F89" w:rsidRDefault="00FA7F89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 w:rsidR="00F90782">
        <w:rPr>
          <w:rFonts w:ascii="Georgia" w:hAnsi="Georgia" w:cs="Georgia"/>
          <w:b/>
          <w:bCs/>
          <w:color w:val="000000"/>
          <w:sz w:val="20"/>
          <w:szCs w:val="20"/>
        </w:rPr>
        <w:t xml:space="preserve">b) </w:t>
      </w:r>
      <w:proofErr w:type="gramStart"/>
      <w:r w:rsidR="00F90782">
        <w:rPr>
          <w:rFonts w:ascii="Georgia" w:hAnsi="Georgia" w:cs="Georgia"/>
          <w:b/>
          <w:bCs/>
          <w:color w:val="000000"/>
          <w:sz w:val="20"/>
          <w:szCs w:val="20"/>
        </w:rPr>
        <w:t>what</w:t>
      </w:r>
      <w:proofErr w:type="gramEnd"/>
      <w:r w:rsidR="00F90782">
        <w:rPr>
          <w:rFonts w:ascii="Georgia" w:hAnsi="Georgia" w:cs="Georgia"/>
          <w:b/>
          <w:bCs/>
          <w:color w:val="000000"/>
          <w:sz w:val="20"/>
          <w:szCs w:val="20"/>
        </w:rPr>
        <w:t xml:space="preserve">  would  the  appropriate  and  prudent  length  of  time  for  which  a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     </w:t>
      </w:r>
      <w:r w:rsidR="00F90782">
        <w:rPr>
          <w:rFonts w:ascii="Georgia" w:hAnsi="Georgia" w:cs="Georgia"/>
          <w:b/>
          <w:bCs/>
          <w:color w:val="000000"/>
          <w:sz w:val="20"/>
          <w:szCs w:val="20"/>
        </w:rPr>
        <w:t xml:space="preserve">TR  must  have   sufficient   financial   resources   enabling   it   to   cover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     </w:t>
      </w:r>
      <w:r w:rsidR="00F90782">
        <w:rPr>
          <w:rFonts w:ascii="Georgia" w:hAnsi="Georgia" w:cs="Georgia"/>
          <w:b/>
          <w:bCs/>
          <w:color w:val="000000"/>
          <w:sz w:val="20"/>
          <w:szCs w:val="20"/>
        </w:rPr>
        <w:t>its operating   costs   (e.g.   6   months  /  1  year)?</w:t>
      </w:r>
    </w:p>
    <w:p w:rsidR="00FA7F89" w:rsidRDefault="00FA7F89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E22A86" w:rsidRDefault="00E22A86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E22A86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E22A86"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 xml:space="preserve">There should be no issues providing information if the TR is established, </w:t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experienced and can demonstrate data management capabilities / existing </w:t>
      </w:r>
      <w:r>
        <w:rPr>
          <w:rFonts w:ascii="Verdana" w:hAnsi="Verdana" w:cs="Georgia"/>
          <w:bCs/>
          <w:color w:val="0000FF"/>
          <w:sz w:val="20"/>
          <w:szCs w:val="20"/>
        </w:rPr>
        <w:tab/>
        <w:t>user / client base.</w:t>
      </w:r>
    </w:p>
    <w:p w:rsidR="00E22A86" w:rsidRDefault="00E22A86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7D67A2" w:rsidRDefault="00E22A86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>
        <w:rPr>
          <w:rFonts w:ascii="Verdana" w:hAnsi="Verdana" w:cs="Georgia"/>
          <w:bCs/>
          <w:color w:val="0000FF"/>
          <w:sz w:val="20"/>
          <w:szCs w:val="20"/>
        </w:rPr>
        <w:tab/>
      </w:r>
      <w:r w:rsidRPr="00E22A86">
        <w:rPr>
          <w:rFonts w:ascii="Verdana" w:hAnsi="Verdana" w:cs="Georgia"/>
          <w:bCs/>
          <w:color w:val="0000FF"/>
          <w:sz w:val="20"/>
          <w:szCs w:val="20"/>
        </w:rPr>
        <w:t>a)</w:t>
      </w:r>
      <w:r w:rsidRPr="00E22A86"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>We have operated a robust</w:t>
      </w:r>
      <w:r w:rsidR="00D7313A">
        <w:rPr>
          <w:rFonts w:ascii="Verdana" w:hAnsi="Verdana" w:cs="Georgia"/>
          <w:bCs/>
          <w:color w:val="0000FF"/>
          <w:sz w:val="20"/>
          <w:szCs w:val="20"/>
        </w:rPr>
        <w:t>, global</w:t>
      </w:r>
      <w:r>
        <w:rPr>
          <w:rFonts w:ascii="Verdana" w:hAnsi="Verdana" w:cs="Georgia"/>
          <w:bCs/>
          <w:color w:val="0000FF"/>
          <w:sz w:val="20"/>
          <w:szCs w:val="20"/>
        </w:rPr>
        <w:t xml:space="preserve"> TR platform for 7 years.  </w:t>
      </w:r>
    </w:p>
    <w:p w:rsidR="007D67A2" w:rsidRDefault="007D67A2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7D67A2" w:rsidRDefault="007D67A2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 w:rsidR="00E22A86">
        <w:rPr>
          <w:rFonts w:ascii="Verdana" w:hAnsi="Verdana" w:cs="Georgia"/>
          <w:bCs/>
          <w:color w:val="0000FF"/>
          <w:sz w:val="20"/>
          <w:szCs w:val="20"/>
        </w:rPr>
        <w:t xml:space="preserve">A minimum </w:t>
      </w:r>
      <w:proofErr w:type="gramStart"/>
      <w:r w:rsidR="00E22A86">
        <w:rPr>
          <w:rFonts w:ascii="Verdana" w:hAnsi="Verdana" w:cs="Georgia"/>
          <w:bCs/>
          <w:color w:val="0000FF"/>
          <w:sz w:val="20"/>
          <w:szCs w:val="20"/>
        </w:rPr>
        <w:t>3 year</w:t>
      </w:r>
      <w:proofErr w:type="gramEnd"/>
      <w:r w:rsidR="00E22A86">
        <w:rPr>
          <w:rFonts w:ascii="Verdana" w:hAnsi="Verdana" w:cs="Georgia"/>
          <w:bCs/>
          <w:color w:val="0000FF"/>
          <w:sz w:val="20"/>
          <w:szCs w:val="20"/>
        </w:rPr>
        <w:t xml:space="preserve"> plan should be requested </w:t>
      </w:r>
      <w:r>
        <w:rPr>
          <w:rFonts w:ascii="Verdana" w:hAnsi="Verdana" w:cs="Georgia"/>
          <w:bCs/>
          <w:color w:val="0000FF"/>
          <w:sz w:val="20"/>
          <w:szCs w:val="20"/>
        </w:rPr>
        <w:t xml:space="preserve">so as to demonstrate </w:t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scope for growth, evolution and traction – both on a user and asset </w:t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  <w:t>construction basis.</w:t>
      </w:r>
    </w:p>
    <w:p w:rsidR="007D67A2" w:rsidRDefault="007D67A2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FA7F89" w:rsidRPr="00E22A86" w:rsidRDefault="007D67A2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>
        <w:rPr>
          <w:rFonts w:ascii="Verdana" w:hAnsi="Verdana" w:cs="Georgia"/>
          <w:bCs/>
          <w:color w:val="0000FF"/>
          <w:sz w:val="20"/>
          <w:szCs w:val="20"/>
        </w:rPr>
        <w:tab/>
        <w:t>b)</w:t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6 months is more than adequate.  The financial stability of a TR should </w:t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be underpinned by the value of its role within the market place.  The </w:t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TR should have scope to operate a transparent, mutually beneficial </w:t>
      </w:r>
      <w:r>
        <w:rPr>
          <w:rFonts w:ascii="Verdana" w:hAnsi="Verdana" w:cs="Georgia"/>
          <w:bCs/>
          <w:color w:val="0000FF"/>
          <w:sz w:val="20"/>
          <w:szCs w:val="20"/>
        </w:rPr>
        <w:tab/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commercial package with all beneficiaries.   </w:t>
      </w:r>
    </w:p>
    <w:p w:rsidR="007F0F71" w:rsidRDefault="007F0F71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7F0F71" w:rsidRDefault="007F0F71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D7313A" w:rsidRDefault="007F0F71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Q81:  What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is  your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view  on  these  concerns  and  the  ways  proposed  to  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address  them?  Would   there   be   any   other   concerns   to   be   addressed   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  <w:t xml:space="preserve">under   the   application   for   registration  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and  tools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that  could  be  used?</w:t>
      </w:r>
    </w:p>
    <w:p w:rsidR="00D7313A" w:rsidRDefault="00D7313A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D7313A" w:rsidRPr="00A16F59" w:rsidRDefault="00D7313A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A16F59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A16F59">
        <w:rPr>
          <w:rFonts w:ascii="Verdana" w:hAnsi="Verdana" w:cs="Georgia"/>
          <w:bCs/>
          <w:color w:val="0000FF"/>
          <w:sz w:val="20"/>
          <w:szCs w:val="20"/>
        </w:rPr>
        <w:tab/>
        <w:t xml:space="preserve">We believe the concerns are well founded and frankly, to be expected as a </w:t>
      </w:r>
      <w:r w:rsidRPr="00A16F59">
        <w:rPr>
          <w:rFonts w:ascii="Verdana" w:hAnsi="Verdana" w:cs="Georgia"/>
          <w:bCs/>
          <w:color w:val="0000FF"/>
          <w:sz w:val="20"/>
          <w:szCs w:val="20"/>
        </w:rPr>
        <w:tab/>
        <w:t xml:space="preserve">norm of any new enterprise.  </w:t>
      </w:r>
    </w:p>
    <w:p w:rsidR="00D7313A" w:rsidRPr="00A16F59" w:rsidRDefault="00D7313A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A16F59" w:rsidRDefault="00D7313A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A16F59">
        <w:rPr>
          <w:rFonts w:ascii="Verdana" w:hAnsi="Verdana" w:cs="Georgia"/>
          <w:bCs/>
          <w:color w:val="0000FF"/>
          <w:sz w:val="20"/>
          <w:szCs w:val="20"/>
        </w:rPr>
        <w:tab/>
        <w:t xml:space="preserve">Key to the whole process is ESMA being in a position to evaluate / validate / </w:t>
      </w:r>
      <w:r w:rsidRPr="00A16F59">
        <w:rPr>
          <w:rFonts w:ascii="Verdana" w:hAnsi="Verdana" w:cs="Georgia"/>
          <w:bCs/>
          <w:color w:val="0000FF"/>
          <w:sz w:val="20"/>
          <w:szCs w:val="20"/>
        </w:rPr>
        <w:tab/>
        <w:t xml:space="preserve">screen with staff specifically experienced in this field...from ground level </w:t>
      </w:r>
      <w:r w:rsidR="00A16F59" w:rsidRPr="00A16F59">
        <w:rPr>
          <w:rFonts w:ascii="Verdana" w:hAnsi="Verdana" w:cs="Georgia"/>
          <w:bCs/>
          <w:color w:val="0000FF"/>
          <w:sz w:val="20"/>
          <w:szCs w:val="20"/>
        </w:rPr>
        <w:tab/>
      </w:r>
      <w:r w:rsidRPr="00A16F59">
        <w:rPr>
          <w:rFonts w:ascii="Verdana" w:hAnsi="Verdana" w:cs="Georgia"/>
          <w:bCs/>
          <w:color w:val="0000FF"/>
          <w:sz w:val="20"/>
          <w:szCs w:val="20"/>
        </w:rPr>
        <w:t xml:space="preserve">instrument understanding through to appropriate, tested multi location </w:t>
      </w:r>
      <w:r w:rsidR="00A16F59" w:rsidRPr="00A16F59">
        <w:rPr>
          <w:rFonts w:ascii="Verdana" w:hAnsi="Verdana" w:cs="Georgia"/>
          <w:bCs/>
          <w:color w:val="0000FF"/>
          <w:sz w:val="20"/>
          <w:szCs w:val="20"/>
        </w:rPr>
        <w:tab/>
      </w:r>
      <w:r w:rsidRPr="00A16F59">
        <w:rPr>
          <w:rFonts w:ascii="Verdana" w:hAnsi="Verdana" w:cs="Georgia"/>
          <w:bCs/>
          <w:color w:val="0000FF"/>
          <w:sz w:val="20"/>
          <w:szCs w:val="20"/>
        </w:rPr>
        <w:t xml:space="preserve">business continuity planning.    </w:t>
      </w:r>
    </w:p>
    <w:p w:rsidR="00A16F59" w:rsidRDefault="00A16F59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A16F59" w:rsidRDefault="00A16F59" w:rsidP="00F907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</w:p>
    <w:p w:rsidR="00F73406" w:rsidRDefault="00F73406" w:rsidP="00A16F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Q82: </w:t>
      </w:r>
      <w:proofErr w:type="gramStart"/>
      <w:r w:rsidR="00A16F59">
        <w:rPr>
          <w:rFonts w:ascii="Georgia" w:hAnsi="Georgia" w:cs="Georgia"/>
          <w:b/>
          <w:bCs/>
          <w:color w:val="000000"/>
          <w:sz w:val="20"/>
          <w:szCs w:val="20"/>
        </w:rPr>
        <w:t>What  level</w:t>
      </w:r>
      <w:proofErr w:type="gramEnd"/>
      <w:r w:rsidR="00A16F59">
        <w:rPr>
          <w:rFonts w:ascii="Georgia" w:hAnsi="Georgia" w:cs="Georgia"/>
          <w:b/>
          <w:bCs/>
          <w:color w:val="000000"/>
          <w:sz w:val="20"/>
          <w:szCs w:val="20"/>
        </w:rPr>
        <w:t xml:space="preserve">  of  aggregation  should  be  considered  for  data  being  </w:t>
      </w:r>
      <w:r w:rsidR="00AF4F68"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 w:rsidR="00A16F59">
        <w:rPr>
          <w:rFonts w:ascii="Georgia" w:hAnsi="Georgia" w:cs="Georgia"/>
          <w:b/>
          <w:bCs/>
          <w:color w:val="000000"/>
          <w:sz w:val="20"/>
          <w:szCs w:val="20"/>
        </w:rPr>
        <w:t>disclosed  to  the  public?  </w:t>
      </w:r>
    </w:p>
    <w:p w:rsidR="00F73406" w:rsidRDefault="00F73406" w:rsidP="00A16F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3B711F" w:rsidRDefault="00F73406" w:rsidP="005E32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5E3211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5E3211">
        <w:rPr>
          <w:rFonts w:ascii="Verdana" w:hAnsi="Verdana" w:cs="Georgia"/>
          <w:bCs/>
          <w:color w:val="0000FF"/>
          <w:sz w:val="20"/>
          <w:szCs w:val="20"/>
        </w:rPr>
        <w:tab/>
      </w:r>
      <w:r w:rsidR="005E3211" w:rsidRPr="005E3211">
        <w:rPr>
          <w:rFonts w:ascii="Verdana" w:hAnsi="Verdana" w:cs="Georgia"/>
          <w:bCs/>
          <w:color w:val="0000FF"/>
          <w:sz w:val="20"/>
          <w:szCs w:val="20"/>
        </w:rPr>
        <w:t xml:space="preserve">We believe that 6 fields of headline data are relevant for public disclosure – </w:t>
      </w:r>
      <w:r w:rsidR="005E3211" w:rsidRPr="005E3211">
        <w:rPr>
          <w:rFonts w:ascii="Verdana" w:hAnsi="Verdana" w:cs="Georgia"/>
          <w:bCs/>
          <w:color w:val="0000FF"/>
          <w:sz w:val="20"/>
          <w:szCs w:val="20"/>
        </w:rPr>
        <w:tab/>
        <w:t xml:space="preserve">a key field is that of ‘interest type’ </w:t>
      </w:r>
      <w:r w:rsidR="003B711F">
        <w:rPr>
          <w:rFonts w:ascii="Verdana" w:hAnsi="Verdana" w:cs="Georgia"/>
          <w:bCs/>
          <w:color w:val="0000FF"/>
          <w:sz w:val="20"/>
          <w:szCs w:val="20"/>
        </w:rPr>
        <w:t>(</w:t>
      </w:r>
      <w:proofErr w:type="spellStart"/>
      <w:r w:rsidR="003B711F">
        <w:rPr>
          <w:rFonts w:ascii="Verdana" w:hAnsi="Verdana" w:cs="Georgia"/>
          <w:bCs/>
          <w:color w:val="0000FF"/>
          <w:sz w:val="20"/>
          <w:szCs w:val="20"/>
        </w:rPr>
        <w:t>eg</w:t>
      </w:r>
      <w:proofErr w:type="spellEnd"/>
      <w:r w:rsidR="003B711F">
        <w:rPr>
          <w:rFonts w:ascii="Verdana" w:hAnsi="Verdana" w:cs="Georgia"/>
          <w:bCs/>
          <w:color w:val="0000FF"/>
          <w:sz w:val="20"/>
          <w:szCs w:val="20"/>
        </w:rPr>
        <w:t xml:space="preserve">. </w:t>
      </w:r>
      <w:r w:rsidR="003B711F" w:rsidRPr="003B711F">
        <w:rPr>
          <w:rFonts w:ascii="Verdana" w:hAnsi="Verdana" w:cs="Verdana"/>
          <w:color w:val="0000FF"/>
          <w:sz w:val="20"/>
          <w:szCs w:val="26"/>
        </w:rPr>
        <w:t xml:space="preserve">Equity Linked, Commodity Linked, </w:t>
      </w:r>
      <w:r w:rsidR="003B711F">
        <w:rPr>
          <w:rFonts w:ascii="Verdana" w:hAnsi="Verdana" w:cs="Verdana"/>
          <w:color w:val="0000FF"/>
          <w:sz w:val="20"/>
          <w:szCs w:val="26"/>
        </w:rPr>
        <w:tab/>
      </w:r>
      <w:r w:rsidR="003B711F" w:rsidRPr="003B711F">
        <w:rPr>
          <w:rFonts w:ascii="Verdana" w:hAnsi="Verdana" w:cs="Verdana"/>
          <w:color w:val="0000FF"/>
          <w:sz w:val="20"/>
          <w:szCs w:val="26"/>
        </w:rPr>
        <w:t>FX linked, Index linked</w:t>
      </w:r>
      <w:r w:rsidR="003B711F" w:rsidRPr="005E3211">
        <w:rPr>
          <w:rFonts w:ascii="Verdana" w:hAnsi="Verdana" w:cs="Georgia"/>
          <w:bCs/>
          <w:color w:val="0000FF"/>
          <w:sz w:val="20"/>
          <w:szCs w:val="20"/>
        </w:rPr>
        <w:t xml:space="preserve"> </w:t>
      </w:r>
      <w:r w:rsidR="005E3211" w:rsidRPr="005E3211">
        <w:rPr>
          <w:rFonts w:ascii="Verdana" w:hAnsi="Verdana" w:cs="Georgia"/>
          <w:bCs/>
          <w:color w:val="0000FF"/>
          <w:sz w:val="20"/>
          <w:szCs w:val="20"/>
        </w:rPr>
        <w:t xml:space="preserve">because from that the number of certain </w:t>
      </w:r>
      <w:r w:rsidR="005E3211" w:rsidRPr="005E3211">
        <w:rPr>
          <w:rFonts w:ascii="Verdana" w:hAnsi="Verdana" w:cs="Georgia"/>
          <w:bCs/>
          <w:color w:val="0000FF"/>
          <w:sz w:val="20"/>
          <w:szCs w:val="20"/>
        </w:rPr>
        <w:tab/>
        <w:t xml:space="preserve">types of </w:t>
      </w:r>
      <w:r w:rsidR="003B711F">
        <w:rPr>
          <w:rFonts w:ascii="Verdana" w:hAnsi="Verdana" w:cs="Georgia"/>
          <w:bCs/>
          <w:color w:val="0000FF"/>
          <w:sz w:val="20"/>
          <w:szCs w:val="20"/>
        </w:rPr>
        <w:tab/>
      </w:r>
      <w:r w:rsidR="005E3211" w:rsidRPr="005E3211">
        <w:rPr>
          <w:rFonts w:ascii="Verdana" w:hAnsi="Verdana" w:cs="Georgia"/>
          <w:bCs/>
          <w:color w:val="0000FF"/>
          <w:sz w:val="20"/>
          <w:szCs w:val="20"/>
        </w:rPr>
        <w:t xml:space="preserve">derivative in circulation can be deduced. </w:t>
      </w:r>
    </w:p>
    <w:p w:rsidR="005E3211" w:rsidRPr="003B711F" w:rsidRDefault="003B711F" w:rsidP="005E32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/>
          <w:bCs/>
          <w:color w:val="0000FF"/>
          <w:sz w:val="20"/>
          <w:szCs w:val="20"/>
        </w:rPr>
      </w:pPr>
      <w:r>
        <w:rPr>
          <w:rFonts w:ascii="Verdana" w:hAnsi="Verdana" w:cs="Georgia"/>
          <w:bCs/>
          <w:color w:val="0000FF"/>
          <w:sz w:val="20"/>
          <w:szCs w:val="20"/>
        </w:rPr>
        <w:tab/>
      </w:r>
      <w:r w:rsidR="005E3211" w:rsidRPr="003B711F">
        <w:rPr>
          <w:rFonts w:ascii="Verdana" w:hAnsi="Verdana" w:cs="Georgia"/>
          <w:b/>
          <w:bCs/>
          <w:color w:val="0000FF"/>
          <w:sz w:val="20"/>
          <w:szCs w:val="20"/>
        </w:rPr>
        <w:t>See</w:t>
      </w:r>
      <w:r>
        <w:rPr>
          <w:rFonts w:ascii="Verdana" w:hAnsi="Verdana" w:cs="Georgia"/>
          <w:b/>
          <w:bCs/>
          <w:color w:val="0000FF"/>
          <w:sz w:val="20"/>
          <w:szCs w:val="20"/>
        </w:rPr>
        <w:t xml:space="preserve"> </w:t>
      </w:r>
      <w:proofErr w:type="gramStart"/>
      <w:r>
        <w:rPr>
          <w:rFonts w:ascii="Verdana" w:hAnsi="Verdana" w:cs="Georgia"/>
          <w:b/>
          <w:bCs/>
          <w:color w:val="0000FF"/>
          <w:sz w:val="20"/>
          <w:szCs w:val="20"/>
        </w:rPr>
        <w:t>-</w:t>
      </w:r>
      <w:r w:rsidR="00B3308C">
        <w:rPr>
          <w:rFonts w:ascii="Verdana" w:hAnsi="Verdana" w:cs="Georgia"/>
          <w:b/>
          <w:bCs/>
          <w:color w:val="0000FF"/>
          <w:sz w:val="20"/>
          <w:szCs w:val="20"/>
        </w:rPr>
        <w:t xml:space="preserve">  </w:t>
      </w:r>
      <w:proofErr w:type="gramEnd"/>
      <w:r w:rsidR="006D470C" w:rsidRPr="003B711F">
        <w:rPr>
          <w:rFonts w:ascii="Verdana" w:hAnsi="Verdana"/>
          <w:b/>
          <w:color w:val="0000FF"/>
          <w:sz w:val="20"/>
        </w:rPr>
        <w:fldChar w:fldCharType="begin"/>
      </w:r>
      <w:r w:rsidR="005E3211" w:rsidRPr="003B711F">
        <w:rPr>
          <w:rFonts w:ascii="Verdana" w:hAnsi="Verdana"/>
          <w:b/>
          <w:color w:val="0000FF"/>
          <w:sz w:val="20"/>
        </w:rPr>
        <w:instrText>HYPERLINK "http://newswire.capitaltrack.net"</w:instrText>
      </w:r>
      <w:r w:rsidR="006D470C" w:rsidRPr="003B711F">
        <w:rPr>
          <w:rFonts w:ascii="Verdana" w:hAnsi="Verdana"/>
          <w:b/>
          <w:color w:val="0000FF"/>
          <w:sz w:val="20"/>
        </w:rPr>
        <w:fldChar w:fldCharType="separate"/>
      </w:r>
      <w:r w:rsidR="005E3211" w:rsidRPr="003B711F">
        <w:rPr>
          <w:rStyle w:val="Hyperlink"/>
          <w:rFonts w:ascii="Verdana" w:hAnsi="Verdana" w:cs="Georgia"/>
          <w:b/>
          <w:bCs/>
          <w:color w:val="0000FF"/>
          <w:sz w:val="20"/>
          <w:szCs w:val="20"/>
        </w:rPr>
        <w:t>http://newswire.capitaltrack.net</w:t>
      </w:r>
      <w:r w:rsidR="006D470C" w:rsidRPr="003B711F">
        <w:rPr>
          <w:rFonts w:ascii="Verdana" w:hAnsi="Verdana"/>
          <w:b/>
          <w:color w:val="0000FF"/>
          <w:sz w:val="20"/>
        </w:rPr>
        <w:fldChar w:fldCharType="end"/>
      </w:r>
      <w:r w:rsidRPr="003B711F">
        <w:rPr>
          <w:rFonts w:ascii="Verdana" w:hAnsi="Verdana" w:cs="Georgia"/>
          <w:b/>
          <w:bCs/>
          <w:color w:val="0000FF"/>
          <w:sz w:val="20"/>
          <w:szCs w:val="20"/>
        </w:rPr>
        <w:t xml:space="preserve">. </w:t>
      </w:r>
    </w:p>
    <w:p w:rsidR="00A16F59" w:rsidRDefault="00A16F59" w:rsidP="00A16F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A16F59" w:rsidRDefault="00A16F59" w:rsidP="00A16F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A13019" w:rsidRDefault="00A16F59" w:rsidP="00A16F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Q83: 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What  should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the  frequency  of  public  disclosure  be  (weekly?  </w:t>
      </w:r>
      <w:r w:rsidR="00AF4F68">
        <w:rPr>
          <w:rFonts w:ascii="Georgia" w:hAnsi="Georgia" w:cs="Georgia"/>
          <w:b/>
          <w:bCs/>
          <w:color w:val="000000"/>
          <w:sz w:val="20"/>
          <w:szCs w:val="20"/>
        </w:rPr>
        <w:tab/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monthly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>?);;  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and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should  it   vary  depending  on  the  class  of  derivatives  </w:t>
      </w:r>
      <w:r w:rsidR="00AF4F68"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>
        <w:rPr>
          <w:rFonts w:ascii="Georgia" w:hAnsi="Georgia" w:cs="Georgia"/>
          <w:b/>
          <w:bCs/>
          <w:color w:val="000000"/>
          <w:sz w:val="20"/>
          <w:szCs w:val="20"/>
        </w:rPr>
        <w:t>or  liquidity  impact  concerns ;;  </w:t>
      </w:r>
      <w:proofErr w:type="gramStart"/>
      <w:r>
        <w:rPr>
          <w:rFonts w:ascii="Georgia" w:hAnsi="Georgia" w:cs="Georgia"/>
          <w:b/>
          <w:bCs/>
          <w:color w:val="000000"/>
          <w:sz w:val="20"/>
          <w:szCs w:val="20"/>
        </w:rPr>
        <w:t>if</w:t>
      </w:r>
      <w:proofErr w:type="gramEnd"/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  yes,  how?</w:t>
      </w:r>
    </w:p>
    <w:p w:rsidR="00A13019" w:rsidRDefault="00A13019" w:rsidP="00A16F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Georgia"/>
          <w:b/>
          <w:bCs/>
          <w:color w:val="000000"/>
          <w:sz w:val="20"/>
          <w:szCs w:val="20"/>
        </w:rPr>
      </w:pPr>
    </w:p>
    <w:p w:rsidR="0052350D" w:rsidRPr="00A13019" w:rsidRDefault="00A13019" w:rsidP="00A16F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Georgia"/>
          <w:bCs/>
          <w:color w:val="0000FF"/>
          <w:sz w:val="20"/>
          <w:szCs w:val="20"/>
        </w:rPr>
      </w:pPr>
      <w:r w:rsidRPr="00A13019">
        <w:rPr>
          <w:rFonts w:ascii="Verdana" w:hAnsi="Verdana" w:cs="Georgia"/>
          <w:bCs/>
          <w:color w:val="0000FF"/>
          <w:sz w:val="20"/>
          <w:szCs w:val="20"/>
        </w:rPr>
        <w:t>CT:</w:t>
      </w:r>
      <w:r w:rsidRPr="00A13019">
        <w:rPr>
          <w:rFonts w:ascii="Verdana" w:hAnsi="Verdana" w:cs="Georgia"/>
          <w:bCs/>
          <w:color w:val="0000FF"/>
          <w:sz w:val="20"/>
          <w:szCs w:val="20"/>
        </w:rPr>
        <w:tab/>
        <w:t xml:space="preserve">We believe the TR function to be a digital library, maintained by strict time </w:t>
      </w:r>
      <w:r w:rsidRPr="00A13019">
        <w:rPr>
          <w:rFonts w:ascii="Verdana" w:hAnsi="Verdana" w:cs="Georgia"/>
          <w:bCs/>
          <w:color w:val="0000FF"/>
          <w:sz w:val="20"/>
          <w:szCs w:val="20"/>
        </w:rPr>
        <w:tab/>
        <w:t xml:space="preserve">/ data content obligations and thus viewable at any give moment.  Access </w:t>
      </w:r>
      <w:r w:rsidRPr="00A13019">
        <w:rPr>
          <w:rFonts w:ascii="Verdana" w:hAnsi="Verdana" w:cs="Georgia"/>
          <w:bCs/>
          <w:color w:val="0000FF"/>
          <w:sz w:val="20"/>
          <w:szCs w:val="20"/>
        </w:rPr>
        <w:tab/>
        <w:t>should be granted when wanted or needed via secure login.</w:t>
      </w:r>
      <w:r>
        <w:rPr>
          <w:rFonts w:ascii="Verdana" w:hAnsi="Verdana" w:cs="Georgia"/>
          <w:bCs/>
          <w:color w:val="0000FF"/>
          <w:sz w:val="20"/>
          <w:szCs w:val="20"/>
        </w:rPr>
        <w:t xml:space="preserve">  Placing </w:t>
      </w:r>
      <w:r>
        <w:rPr>
          <w:rFonts w:ascii="Verdana" w:hAnsi="Verdana" w:cs="Georgia"/>
          <w:bCs/>
          <w:color w:val="0000FF"/>
          <w:sz w:val="20"/>
          <w:szCs w:val="20"/>
        </w:rPr>
        <w:tab/>
        <w:t xml:space="preserve">disclosure times around a public source of information would hinder any sort </w:t>
      </w:r>
      <w:r>
        <w:rPr>
          <w:rFonts w:ascii="Verdana" w:hAnsi="Verdana" w:cs="Georgia"/>
          <w:bCs/>
          <w:color w:val="0000FF"/>
          <w:sz w:val="20"/>
          <w:szCs w:val="20"/>
        </w:rPr>
        <w:tab/>
        <w:t>of dispute / error resolution and incur delay costs.</w:t>
      </w:r>
    </w:p>
    <w:sectPr w:rsidR="0052350D" w:rsidRPr="00A13019" w:rsidSect="001846E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846E5"/>
    <w:rsid w:val="000E1A94"/>
    <w:rsid w:val="000E5DEA"/>
    <w:rsid w:val="001846E5"/>
    <w:rsid w:val="001A1E8D"/>
    <w:rsid w:val="002013DE"/>
    <w:rsid w:val="00203677"/>
    <w:rsid w:val="00242D02"/>
    <w:rsid w:val="002B2400"/>
    <w:rsid w:val="003302C2"/>
    <w:rsid w:val="003B711F"/>
    <w:rsid w:val="0052350D"/>
    <w:rsid w:val="005C0CEB"/>
    <w:rsid w:val="005D311E"/>
    <w:rsid w:val="005E3211"/>
    <w:rsid w:val="005E34A7"/>
    <w:rsid w:val="00630DF3"/>
    <w:rsid w:val="0064468A"/>
    <w:rsid w:val="006D470C"/>
    <w:rsid w:val="00716057"/>
    <w:rsid w:val="007D67A2"/>
    <w:rsid w:val="007F0F71"/>
    <w:rsid w:val="008A2305"/>
    <w:rsid w:val="0091064D"/>
    <w:rsid w:val="0093192D"/>
    <w:rsid w:val="0093599A"/>
    <w:rsid w:val="00976387"/>
    <w:rsid w:val="00A13019"/>
    <w:rsid w:val="00A16F59"/>
    <w:rsid w:val="00AD3EBF"/>
    <w:rsid w:val="00AF4F68"/>
    <w:rsid w:val="00B250CF"/>
    <w:rsid w:val="00B3308C"/>
    <w:rsid w:val="00C82798"/>
    <w:rsid w:val="00CC1A4D"/>
    <w:rsid w:val="00D7313A"/>
    <w:rsid w:val="00DB49D6"/>
    <w:rsid w:val="00E22A86"/>
    <w:rsid w:val="00E946E9"/>
    <w:rsid w:val="00F73406"/>
    <w:rsid w:val="00F8744E"/>
    <w:rsid w:val="00F90782"/>
    <w:rsid w:val="00FA7F89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1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D67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1288</Words>
  <Characters>7342</Characters>
  <Application>Microsoft Macintosh Word</Application>
  <DocSecurity>0</DocSecurity>
  <Lines>61</Lines>
  <Paragraphs>14</Paragraphs>
  <ScaleCrop>false</ScaleCrop>
  <Company>Capitaltrack</Company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Meek</dc:creator>
  <cp:keywords/>
  <cp:lastModifiedBy>Ashley Meek</cp:lastModifiedBy>
  <cp:revision>5</cp:revision>
  <dcterms:created xsi:type="dcterms:W3CDTF">2012-03-19T08:46:00Z</dcterms:created>
  <dcterms:modified xsi:type="dcterms:W3CDTF">2012-03-19T08:54:00Z</dcterms:modified>
</cp:coreProperties>
</file>