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7F" w:rsidRDefault="00BC5B7F">
      <w:pPr>
        <w:rPr>
          <w:b/>
        </w:rPr>
      </w:pPr>
      <w:r w:rsidRPr="00BC5B7F">
        <w:rPr>
          <w:b/>
        </w:rPr>
        <w:t>ESMA’</w:t>
      </w:r>
      <w:r w:rsidR="00AC0292">
        <w:rPr>
          <w:b/>
        </w:rPr>
        <w:t>S</w:t>
      </w:r>
      <w:r w:rsidRPr="00BC5B7F">
        <w:rPr>
          <w:b/>
        </w:rPr>
        <w:t xml:space="preserve"> </w:t>
      </w:r>
      <w:r w:rsidR="00AC0292">
        <w:rPr>
          <w:b/>
        </w:rPr>
        <w:t>CALL FOR EVIDENCE</w:t>
      </w:r>
    </w:p>
    <w:p w:rsidR="00E26938" w:rsidRPr="00BC5B7F" w:rsidRDefault="00E26938">
      <w:pPr>
        <w:rPr>
          <w:b/>
        </w:rPr>
      </w:pPr>
      <w:bookmarkStart w:id="0" w:name="_GoBack"/>
      <w:bookmarkEnd w:id="0"/>
    </w:p>
    <w:p w:rsidR="00BC5B7F" w:rsidRPr="00E26938" w:rsidRDefault="00E26938">
      <w:pPr>
        <w:rPr>
          <w:b/>
        </w:rPr>
      </w:pPr>
      <w:r>
        <w:rPr>
          <w:b/>
        </w:rPr>
        <w:t xml:space="preserve">Response - Canadian Securities Administrators </w:t>
      </w:r>
    </w:p>
    <w:p w:rsidR="00D406F6" w:rsidRDefault="00D406F6"/>
    <w:p w:rsidR="00D406F6" w:rsidRPr="00D406F6" w:rsidRDefault="00D406F6" w:rsidP="00D406F6">
      <w:pPr>
        <w:rPr>
          <w:b/>
          <w:u w:val="single"/>
          <w:lang w:val="en-GB"/>
        </w:rPr>
      </w:pPr>
      <w:r w:rsidRPr="00D406F6">
        <w:rPr>
          <w:b/>
          <w:u w:val="single"/>
          <w:lang w:val="en-GB"/>
        </w:rPr>
        <w:t>Q26:</w:t>
      </w:r>
      <w:r w:rsidRPr="00D406F6">
        <w:rPr>
          <w:b/>
          <w:u w:val="single"/>
          <w:lang w:val="en-GB"/>
        </w:rPr>
        <w:tab/>
        <w:t xml:space="preserve">Do you have evidence showing that existing difficulties or limitations in non-EU countries have deterred fund managers in your jurisdiction from deciding to establish or market AIFs or UCITS they manage in the non-EU country? Please specify the non-EU country and explain the difficulties or limitations. </w:t>
      </w:r>
    </w:p>
    <w:p w:rsidR="00D406F6" w:rsidRDefault="00D406F6"/>
    <w:p w:rsidR="00D406F6" w:rsidRDefault="0085368D">
      <w:r>
        <w:rPr>
          <w:sz w:val="22"/>
        </w:rPr>
        <w:t xml:space="preserve">We have no specific evidence suggesting that fund managers in Ontario or British Columbia have been deterred from establishing or marketing AIFs or UCITs they manage in non-EU countries.  We anticipate this would similarly be the case for fund managers in other Canadian provinces.  </w:t>
      </w:r>
    </w:p>
    <w:p w:rsidR="00D406F6" w:rsidRDefault="00D406F6"/>
    <w:p w:rsidR="00F7003E" w:rsidRPr="00361D6B" w:rsidRDefault="00683A6A" w:rsidP="00683A6A">
      <w:pPr>
        <w:rPr>
          <w:b/>
          <w:sz w:val="22"/>
          <w:u w:val="single"/>
        </w:rPr>
      </w:pPr>
      <w:r w:rsidRPr="00361D6B">
        <w:rPr>
          <w:b/>
          <w:sz w:val="22"/>
          <w:u w:val="single"/>
        </w:rPr>
        <w:t>Q28:</w:t>
      </w:r>
      <w:r w:rsidRPr="00361D6B">
        <w:rPr>
          <w:b/>
          <w:sz w:val="22"/>
          <w:u w:val="single"/>
        </w:rPr>
        <w:tab/>
      </w:r>
      <w:r w:rsidR="00BC5B7F" w:rsidRPr="00361D6B">
        <w:rPr>
          <w:b/>
          <w:sz w:val="22"/>
          <w:u w:val="single"/>
        </w:rPr>
        <w:t>What are the conditions that EU AIFMs and UCITS management companies have to comply with in order to manage or market AIFs or UCITS in your jurisdiction? Please specify.</w:t>
      </w:r>
    </w:p>
    <w:p w:rsidR="00BC5B7F" w:rsidRDefault="00BC5B7F">
      <w:pPr>
        <w:rPr>
          <w:sz w:val="22"/>
        </w:rPr>
      </w:pPr>
    </w:p>
    <w:p w:rsidR="006B62DD" w:rsidRPr="006B62DD" w:rsidRDefault="005A3A53">
      <w:pPr>
        <w:rPr>
          <w:b/>
          <w:sz w:val="22"/>
        </w:rPr>
      </w:pPr>
      <w:r>
        <w:rPr>
          <w:b/>
          <w:sz w:val="22"/>
        </w:rPr>
        <w:t>REGISTRATION REQUIREMENT</w:t>
      </w:r>
    </w:p>
    <w:p w:rsidR="00764E81" w:rsidRPr="008C7A47" w:rsidRDefault="00764E81">
      <w:pPr>
        <w:rPr>
          <w:sz w:val="22"/>
        </w:rPr>
      </w:pPr>
      <w:r w:rsidRPr="008C7A47">
        <w:rPr>
          <w:sz w:val="22"/>
        </w:rPr>
        <w:t xml:space="preserve">Prior to managing or marketing AIFs or UCITs in a local jurisdiction in Canada, </w:t>
      </w:r>
      <w:r w:rsidR="00DB192A" w:rsidRPr="008C7A47">
        <w:rPr>
          <w:sz w:val="22"/>
        </w:rPr>
        <w:t xml:space="preserve">EU AIFMs and UCITS management companies </w:t>
      </w:r>
      <w:r w:rsidR="00053B31" w:rsidRPr="008C7A47">
        <w:rPr>
          <w:sz w:val="22"/>
        </w:rPr>
        <w:t>must</w:t>
      </w:r>
      <w:r w:rsidRPr="008C7A47">
        <w:rPr>
          <w:sz w:val="22"/>
        </w:rPr>
        <w:t xml:space="preserve"> assess </w:t>
      </w:r>
      <w:r w:rsidR="00516532">
        <w:rPr>
          <w:sz w:val="22"/>
        </w:rPr>
        <w:t xml:space="preserve">and determine </w:t>
      </w:r>
      <w:r w:rsidRPr="008C7A47">
        <w:rPr>
          <w:sz w:val="22"/>
        </w:rPr>
        <w:t>whether they need to register</w:t>
      </w:r>
      <w:r w:rsidR="008C7A47" w:rsidRPr="008C7A47">
        <w:rPr>
          <w:sz w:val="22"/>
        </w:rPr>
        <w:t xml:space="preserve"> with the local jurisdiction and </w:t>
      </w:r>
      <w:r w:rsidR="00584022">
        <w:rPr>
          <w:sz w:val="22"/>
        </w:rPr>
        <w:t>in which</w:t>
      </w:r>
      <w:r w:rsidR="008C7A47" w:rsidRPr="008C7A47">
        <w:rPr>
          <w:sz w:val="22"/>
        </w:rPr>
        <w:t xml:space="preserve"> registration </w:t>
      </w:r>
      <w:r w:rsidR="00516532">
        <w:rPr>
          <w:sz w:val="22"/>
        </w:rPr>
        <w:t>categories</w:t>
      </w:r>
      <w:r w:rsidRPr="008C7A47">
        <w:rPr>
          <w:sz w:val="22"/>
        </w:rPr>
        <w:t>.</w:t>
      </w:r>
    </w:p>
    <w:p w:rsidR="008C7A47" w:rsidRPr="008C7A47" w:rsidRDefault="008C7A47">
      <w:pPr>
        <w:rPr>
          <w:sz w:val="22"/>
        </w:rPr>
      </w:pPr>
    </w:p>
    <w:p w:rsidR="00053B31" w:rsidRDefault="004930E1">
      <w:pPr>
        <w:rPr>
          <w:sz w:val="22"/>
        </w:rPr>
      </w:pPr>
      <w:r>
        <w:rPr>
          <w:sz w:val="22"/>
        </w:rPr>
        <w:t>Entities</w:t>
      </w:r>
      <w:r w:rsidR="00EF6036">
        <w:rPr>
          <w:sz w:val="22"/>
        </w:rPr>
        <w:t xml:space="preserve"> </w:t>
      </w:r>
      <w:r w:rsidR="00053B31" w:rsidRPr="008C7A47">
        <w:rPr>
          <w:sz w:val="22"/>
        </w:rPr>
        <w:t xml:space="preserve">that </w:t>
      </w:r>
      <w:r>
        <w:rPr>
          <w:sz w:val="22"/>
          <w:lang w:val="en-US"/>
        </w:rPr>
        <w:t>direct</w:t>
      </w:r>
      <w:r w:rsidR="00381EE9" w:rsidRPr="00381EE9">
        <w:rPr>
          <w:sz w:val="22"/>
          <w:lang w:val="en-US"/>
        </w:rPr>
        <w:t xml:space="preserve"> the business, operations or affairs of</w:t>
      </w:r>
      <w:r w:rsidR="00381EE9" w:rsidRPr="00D775FC">
        <w:rPr>
          <w:sz w:val="24"/>
          <w:szCs w:val="24"/>
          <w:lang w:val="en-US"/>
        </w:rPr>
        <w:t xml:space="preserve"> </w:t>
      </w:r>
      <w:r w:rsidR="00053B31" w:rsidRPr="008C7A47">
        <w:rPr>
          <w:sz w:val="22"/>
        </w:rPr>
        <w:t>an investment fund must be registered in the category of investment fund manager (</w:t>
      </w:r>
      <w:r w:rsidR="00053B31" w:rsidRPr="00381EE9">
        <w:rPr>
          <w:b/>
          <w:sz w:val="22"/>
        </w:rPr>
        <w:t>IFM</w:t>
      </w:r>
      <w:r w:rsidR="00053B31" w:rsidRPr="008C7A47">
        <w:rPr>
          <w:sz w:val="22"/>
        </w:rPr>
        <w:t xml:space="preserve">).  In addition, advisers that provide portfolio advice to an investment fund must be registered in the category of </w:t>
      </w:r>
      <w:r w:rsidR="0070235C">
        <w:rPr>
          <w:sz w:val="22"/>
        </w:rPr>
        <w:t>adviser</w:t>
      </w:r>
      <w:r w:rsidR="00053B31" w:rsidRPr="008C7A47">
        <w:rPr>
          <w:sz w:val="22"/>
        </w:rPr>
        <w:t xml:space="preserve"> and dealers that market or sell an investment fund must be registered in the category of dealer.</w:t>
      </w:r>
      <w:r w:rsidR="00683A6A">
        <w:rPr>
          <w:sz w:val="22"/>
        </w:rPr>
        <w:t xml:space="preserve"> </w:t>
      </w:r>
    </w:p>
    <w:p w:rsidR="00683A6A" w:rsidRDefault="00683A6A">
      <w:pPr>
        <w:rPr>
          <w:sz w:val="22"/>
        </w:rPr>
      </w:pPr>
    </w:p>
    <w:p w:rsidR="0070235C" w:rsidRDefault="00C42DEE" w:rsidP="0070235C">
      <w:pPr>
        <w:rPr>
          <w:sz w:val="22"/>
        </w:rPr>
      </w:pPr>
      <w:r>
        <w:rPr>
          <w:sz w:val="22"/>
        </w:rPr>
        <w:t>I</w:t>
      </w:r>
      <w:r w:rsidRPr="0070235C">
        <w:rPr>
          <w:sz w:val="22"/>
        </w:rPr>
        <w:t>ndividuals carrying out activities on behalf of a registered dealer or adviser are required to register as dealing and advising representatives, respectively.</w:t>
      </w:r>
      <w:r w:rsidR="00683A6A" w:rsidRPr="0070235C">
        <w:rPr>
          <w:sz w:val="22"/>
        </w:rPr>
        <w:t xml:space="preserve"> </w:t>
      </w:r>
      <w:r>
        <w:rPr>
          <w:sz w:val="22"/>
        </w:rPr>
        <w:t>Further,</w:t>
      </w:r>
      <w:r w:rsidR="00683A6A" w:rsidRPr="0070235C">
        <w:rPr>
          <w:sz w:val="22"/>
        </w:rPr>
        <w:t xml:space="preserve"> the individuals that set the tone for compliance in the firm</w:t>
      </w:r>
      <w:r w:rsidR="00731974">
        <w:rPr>
          <w:sz w:val="22"/>
        </w:rPr>
        <w:t xml:space="preserve"> (dealer, adviser or IFM)</w:t>
      </w:r>
      <w:r w:rsidR="00683A6A" w:rsidRPr="0070235C">
        <w:rPr>
          <w:sz w:val="22"/>
        </w:rPr>
        <w:t>, and who enforce and implement that compliance, are required to register as Ultimate Designated Person (</w:t>
      </w:r>
      <w:r w:rsidR="00683A6A" w:rsidRPr="0070235C">
        <w:rPr>
          <w:b/>
          <w:sz w:val="22"/>
        </w:rPr>
        <w:t>UDP</w:t>
      </w:r>
      <w:r w:rsidR="00683A6A" w:rsidRPr="0070235C">
        <w:rPr>
          <w:sz w:val="22"/>
        </w:rPr>
        <w:t>) and Chief Compliance Officer (</w:t>
      </w:r>
      <w:r w:rsidR="00683A6A" w:rsidRPr="0070235C">
        <w:rPr>
          <w:b/>
          <w:sz w:val="22"/>
        </w:rPr>
        <w:t>CCO</w:t>
      </w:r>
      <w:r w:rsidR="00683A6A" w:rsidRPr="0070235C">
        <w:rPr>
          <w:sz w:val="22"/>
        </w:rPr>
        <w:t>), respectively.</w:t>
      </w:r>
    </w:p>
    <w:p w:rsidR="0070235C" w:rsidRDefault="0070235C" w:rsidP="0070235C">
      <w:pPr>
        <w:rPr>
          <w:sz w:val="22"/>
        </w:rPr>
      </w:pPr>
    </w:p>
    <w:p w:rsidR="00B76417" w:rsidRPr="00683A6A" w:rsidRDefault="00B76417" w:rsidP="00B76417">
      <w:pPr>
        <w:rPr>
          <w:sz w:val="22"/>
        </w:rPr>
      </w:pPr>
      <w:r>
        <w:rPr>
          <w:sz w:val="22"/>
        </w:rPr>
        <w:t xml:space="preserve">Please </w:t>
      </w:r>
      <w:r w:rsidR="00777982">
        <w:rPr>
          <w:sz w:val="22"/>
        </w:rPr>
        <w:t xml:space="preserve">also </w:t>
      </w:r>
      <w:r>
        <w:rPr>
          <w:sz w:val="22"/>
        </w:rPr>
        <w:t xml:space="preserve">refer to </w:t>
      </w:r>
      <w:r w:rsidRPr="00683A6A">
        <w:rPr>
          <w:sz w:val="22"/>
        </w:rPr>
        <w:t xml:space="preserve">our response to </w:t>
      </w:r>
      <w:r>
        <w:rPr>
          <w:sz w:val="22"/>
        </w:rPr>
        <w:t xml:space="preserve">Q29 for a detailed discussion of the </w:t>
      </w:r>
      <w:r w:rsidRPr="00683A6A">
        <w:rPr>
          <w:sz w:val="22"/>
        </w:rPr>
        <w:t xml:space="preserve">regulatory </w:t>
      </w:r>
      <w:r w:rsidR="00593E35">
        <w:rPr>
          <w:sz w:val="22"/>
        </w:rPr>
        <w:t xml:space="preserve">framework and requirements </w:t>
      </w:r>
      <w:r>
        <w:rPr>
          <w:sz w:val="22"/>
        </w:rPr>
        <w:t>in Canada.</w:t>
      </w:r>
    </w:p>
    <w:p w:rsidR="00731974" w:rsidRDefault="00731974">
      <w:pPr>
        <w:spacing w:after="200" w:line="276" w:lineRule="auto"/>
        <w:rPr>
          <w:b/>
          <w:sz w:val="22"/>
        </w:rPr>
      </w:pPr>
    </w:p>
    <w:p w:rsidR="00505276" w:rsidRPr="00505276" w:rsidRDefault="00505276" w:rsidP="00505276">
      <w:pPr>
        <w:spacing w:after="200" w:line="276" w:lineRule="auto"/>
        <w:rPr>
          <w:b/>
          <w:sz w:val="22"/>
        </w:rPr>
      </w:pPr>
      <w:r w:rsidRPr="00505276">
        <w:rPr>
          <w:b/>
          <w:sz w:val="22"/>
        </w:rPr>
        <w:lastRenderedPageBreak/>
        <w:t>REGISTRATION FOR AN INTERNATIONAL IFM</w:t>
      </w:r>
    </w:p>
    <w:p w:rsidR="00505276" w:rsidRPr="00505276" w:rsidRDefault="00505276" w:rsidP="00505276">
      <w:pPr>
        <w:spacing w:after="200" w:line="276" w:lineRule="auto"/>
        <w:rPr>
          <w:sz w:val="22"/>
          <w:lang w:val="en-GB"/>
        </w:rPr>
      </w:pPr>
      <w:r w:rsidRPr="00505276">
        <w:rPr>
          <w:sz w:val="22"/>
          <w:lang w:val="en-GB"/>
        </w:rPr>
        <w:t xml:space="preserve">An IFM that does not have a place of business in Canada (an </w:t>
      </w:r>
      <w:r w:rsidRPr="00505276">
        <w:rPr>
          <w:b/>
          <w:sz w:val="22"/>
          <w:lang w:val="en-GB"/>
        </w:rPr>
        <w:t>international IFM</w:t>
      </w:r>
      <w:r w:rsidRPr="00505276">
        <w:rPr>
          <w:sz w:val="22"/>
          <w:lang w:val="en-GB"/>
        </w:rPr>
        <w:t xml:space="preserve">) will need to refer to Multilateral Instrument 32-102 </w:t>
      </w:r>
      <w:r w:rsidRPr="00505276">
        <w:rPr>
          <w:i/>
          <w:sz w:val="22"/>
          <w:lang w:val="en-GB"/>
        </w:rPr>
        <w:t>Registration Exemptions for Non-Resident Investment Fund Managers</w:t>
      </w:r>
      <w:r w:rsidRPr="00505276">
        <w:rPr>
          <w:sz w:val="22"/>
          <w:lang w:val="en-GB"/>
        </w:rPr>
        <w:t xml:space="preserve"> (</w:t>
      </w:r>
      <w:r w:rsidRPr="00505276">
        <w:rPr>
          <w:b/>
          <w:sz w:val="22"/>
          <w:lang w:val="en-GB"/>
        </w:rPr>
        <w:t>MI 32-102</w:t>
      </w:r>
      <w:r w:rsidRPr="00505276">
        <w:rPr>
          <w:sz w:val="22"/>
          <w:lang w:val="en-GB"/>
        </w:rPr>
        <w:t>) and its Companion Policy (</w:t>
      </w:r>
      <w:r w:rsidRPr="00505276">
        <w:rPr>
          <w:b/>
          <w:sz w:val="22"/>
          <w:lang w:val="en-GB"/>
        </w:rPr>
        <w:t>CP 32-102</w:t>
      </w:r>
      <w:r w:rsidRPr="00505276">
        <w:rPr>
          <w:sz w:val="22"/>
          <w:lang w:val="en-GB"/>
        </w:rPr>
        <w:t xml:space="preserve">), as well as </w:t>
      </w:r>
      <w:r w:rsidRPr="00505276">
        <w:rPr>
          <w:sz w:val="22"/>
        </w:rPr>
        <w:t xml:space="preserve">Multilateral Policy 31-202 </w:t>
      </w:r>
      <w:r w:rsidRPr="00505276">
        <w:rPr>
          <w:i/>
          <w:sz w:val="22"/>
        </w:rPr>
        <w:t>Registration Requirement for Investment Fund Managers</w:t>
      </w:r>
      <w:r w:rsidRPr="00505276">
        <w:rPr>
          <w:sz w:val="22"/>
        </w:rPr>
        <w:t xml:space="preserve"> (</w:t>
      </w:r>
      <w:r w:rsidRPr="00505276">
        <w:rPr>
          <w:b/>
          <w:sz w:val="22"/>
        </w:rPr>
        <w:t>MP 31-202</w:t>
      </w:r>
      <w:r w:rsidRPr="00505276">
        <w:rPr>
          <w:sz w:val="22"/>
        </w:rPr>
        <w:t xml:space="preserve">), to </w:t>
      </w:r>
      <w:r w:rsidRPr="00505276">
        <w:rPr>
          <w:sz w:val="22"/>
          <w:lang w:val="en-GB"/>
        </w:rPr>
        <w:t>assess whether registration is required in a local jurisdiction (province or territory) of Canada.</w:t>
      </w:r>
    </w:p>
    <w:p w:rsidR="00505276" w:rsidRPr="00505276" w:rsidRDefault="00505276" w:rsidP="00857EE6">
      <w:pPr>
        <w:spacing w:line="276" w:lineRule="auto"/>
        <w:rPr>
          <w:sz w:val="22"/>
          <w:lang w:val="en-GB"/>
        </w:rPr>
      </w:pPr>
    </w:p>
    <w:p w:rsidR="00505276" w:rsidRPr="00505276" w:rsidRDefault="00505276" w:rsidP="00857EE6">
      <w:pPr>
        <w:spacing w:line="276" w:lineRule="auto"/>
        <w:rPr>
          <w:sz w:val="22"/>
          <w:lang w:val="en-US"/>
        </w:rPr>
      </w:pPr>
      <w:r w:rsidRPr="00505276">
        <w:rPr>
          <w:sz w:val="22"/>
        </w:rPr>
        <w:t xml:space="preserve">In </w:t>
      </w:r>
      <w:r w:rsidRPr="00505276">
        <w:rPr>
          <w:sz w:val="22"/>
          <w:lang w:val="en-GB"/>
        </w:rPr>
        <w:t>Ontario, Quebec and Newfoundland and Labrador, MI 32-102 and CP 32-102 apply.  A</w:t>
      </w:r>
      <w:r w:rsidRPr="00505276">
        <w:rPr>
          <w:sz w:val="22"/>
        </w:rPr>
        <w:t xml:space="preserve">n international IFM is required to register if it directs the business, operations or affairs of an investment fund that distributes or has distributed securities to resident of the local jurisdiction unless it can rely on the exemptions under MI 32-102.  </w:t>
      </w:r>
    </w:p>
    <w:p w:rsidR="00505276" w:rsidRPr="00505276" w:rsidRDefault="00505276" w:rsidP="00857EE6">
      <w:pPr>
        <w:spacing w:line="276" w:lineRule="auto"/>
        <w:rPr>
          <w:sz w:val="22"/>
          <w:lang w:val="en-US"/>
        </w:rPr>
      </w:pPr>
    </w:p>
    <w:p w:rsidR="00505276" w:rsidRPr="00505276" w:rsidRDefault="00505276" w:rsidP="00505276">
      <w:pPr>
        <w:spacing w:after="200" w:line="276" w:lineRule="auto"/>
        <w:rPr>
          <w:sz w:val="22"/>
          <w:lang w:val="en-GB"/>
        </w:rPr>
      </w:pPr>
      <w:r w:rsidRPr="00505276">
        <w:rPr>
          <w:sz w:val="22"/>
          <w:lang w:val="en-GB"/>
        </w:rPr>
        <w:t>Exemptions from the registration requirement may be available under MI 32-102 if:</w:t>
      </w:r>
    </w:p>
    <w:p w:rsidR="00505276" w:rsidRPr="00505276" w:rsidRDefault="00505276" w:rsidP="00505276">
      <w:pPr>
        <w:numPr>
          <w:ilvl w:val="0"/>
          <w:numId w:val="21"/>
        </w:numPr>
        <w:spacing w:after="200" w:line="276" w:lineRule="auto"/>
        <w:rPr>
          <w:sz w:val="22"/>
          <w:lang w:val="en-GB"/>
        </w:rPr>
      </w:pPr>
      <w:r w:rsidRPr="00505276">
        <w:rPr>
          <w:sz w:val="22"/>
          <w:lang w:val="en-GB"/>
        </w:rPr>
        <w:t xml:space="preserve">No </w:t>
      </w:r>
      <w:proofErr w:type="spellStart"/>
      <w:r w:rsidRPr="00505276">
        <w:rPr>
          <w:sz w:val="22"/>
          <w:lang w:val="en-GB"/>
        </w:rPr>
        <w:t>securityholders</w:t>
      </w:r>
      <w:proofErr w:type="spellEnd"/>
      <w:r w:rsidRPr="00505276">
        <w:rPr>
          <w:sz w:val="22"/>
          <w:lang w:val="en-GB"/>
        </w:rPr>
        <w:t xml:space="preserve"> in the investment fund(s) that are managed by the international IFM are resident in the local jurisdiction, and there has been no “active solicitation” in the local jurisdiction by the IFM (or the funds that it manages) after September 27, 2012  (the </w:t>
      </w:r>
      <w:r w:rsidRPr="00505276">
        <w:rPr>
          <w:b/>
          <w:sz w:val="22"/>
          <w:lang w:val="en-GB"/>
        </w:rPr>
        <w:t>no solicitation exemption</w:t>
      </w:r>
      <w:r w:rsidRPr="00505276">
        <w:rPr>
          <w:sz w:val="22"/>
          <w:lang w:val="en-GB"/>
        </w:rPr>
        <w:t>); or</w:t>
      </w:r>
    </w:p>
    <w:p w:rsidR="00505276" w:rsidRPr="00505276" w:rsidRDefault="00505276" w:rsidP="00857EE6">
      <w:pPr>
        <w:numPr>
          <w:ilvl w:val="0"/>
          <w:numId w:val="21"/>
        </w:numPr>
        <w:spacing w:line="276" w:lineRule="auto"/>
        <w:rPr>
          <w:sz w:val="22"/>
          <w:lang w:val="en-GB"/>
        </w:rPr>
      </w:pPr>
      <w:proofErr w:type="gramStart"/>
      <w:r w:rsidRPr="00505276">
        <w:rPr>
          <w:sz w:val="22"/>
          <w:lang w:val="en-US"/>
        </w:rPr>
        <w:t>all</w:t>
      </w:r>
      <w:proofErr w:type="gramEnd"/>
      <w:r w:rsidRPr="00505276">
        <w:rPr>
          <w:sz w:val="22"/>
          <w:lang w:val="en-US"/>
        </w:rPr>
        <w:t xml:space="preserve"> securities of the investment funds that have been distributed in the local jurisdiction were distributed under an exemption from the prospectus requirement to a “permitted client”</w:t>
      </w:r>
      <w:r w:rsidRPr="00505276">
        <w:rPr>
          <w:sz w:val="22"/>
          <w:lang w:val="en-GB"/>
        </w:rPr>
        <w:t xml:space="preserve"> (the </w:t>
      </w:r>
      <w:r w:rsidRPr="00505276">
        <w:rPr>
          <w:b/>
          <w:sz w:val="22"/>
          <w:lang w:val="en-GB"/>
        </w:rPr>
        <w:t>permitted client exemption</w:t>
      </w:r>
      <w:r w:rsidRPr="00505276">
        <w:rPr>
          <w:sz w:val="22"/>
          <w:lang w:val="en-GB"/>
        </w:rPr>
        <w:t>).</w:t>
      </w:r>
    </w:p>
    <w:p w:rsidR="00505276" w:rsidRPr="00505276" w:rsidRDefault="00505276" w:rsidP="00505276">
      <w:pPr>
        <w:spacing w:after="200" w:line="276" w:lineRule="auto"/>
        <w:rPr>
          <w:sz w:val="22"/>
        </w:rPr>
      </w:pPr>
    </w:p>
    <w:p w:rsidR="00505276" w:rsidRPr="00505276" w:rsidRDefault="00505276" w:rsidP="00857EE6">
      <w:pPr>
        <w:spacing w:line="276" w:lineRule="auto"/>
        <w:rPr>
          <w:sz w:val="22"/>
        </w:rPr>
      </w:pPr>
      <w:r w:rsidRPr="00505276">
        <w:rPr>
          <w:sz w:val="22"/>
        </w:rPr>
        <w:t>In the other local jurisdictions of Canada, MP 31-202 applies.  In these local jurisdictions, an international IFM will generally not need to register in the local jurisdiction unless it directs the business, operations or affairs of an investment fund from a physical place of business in the jurisdiction or has its head office in the jurisdiction.  In circumstances where the IFM does not have a physical place of business or head office in the local jurisdiction, the IFM will need to register</w:t>
      </w:r>
      <w:r>
        <w:rPr>
          <w:sz w:val="22"/>
        </w:rPr>
        <w:t xml:space="preserve"> </w:t>
      </w:r>
      <w:r w:rsidRPr="00505276">
        <w:rPr>
          <w:sz w:val="22"/>
        </w:rPr>
        <w:t xml:space="preserve">in the local jurisdiction if it carries out the activities of an IFM in that jurisdiction. </w:t>
      </w:r>
      <w:r w:rsidR="00756D3C">
        <w:rPr>
          <w:sz w:val="22"/>
        </w:rPr>
        <w:t xml:space="preserve"> </w:t>
      </w:r>
      <w:r w:rsidRPr="00505276">
        <w:rPr>
          <w:sz w:val="22"/>
        </w:rPr>
        <w:t xml:space="preserve">MP 31-202 provides guidance on activities that result in the IFM directing or managing the business, operations or affairs of an investment fund in the local jurisdiction.  </w:t>
      </w:r>
    </w:p>
    <w:p w:rsidR="00505276" w:rsidRPr="00505276" w:rsidRDefault="00505276" w:rsidP="00505276">
      <w:pPr>
        <w:spacing w:after="200" w:line="276" w:lineRule="auto"/>
        <w:rPr>
          <w:sz w:val="22"/>
        </w:rPr>
      </w:pPr>
    </w:p>
    <w:p w:rsidR="00505276" w:rsidRDefault="00505276">
      <w:pPr>
        <w:spacing w:after="200" w:line="276" w:lineRule="auto"/>
        <w:rPr>
          <w:b/>
          <w:bCs/>
          <w:sz w:val="22"/>
          <w:lang w:val="en-US"/>
        </w:rPr>
      </w:pPr>
      <w:r>
        <w:rPr>
          <w:b/>
          <w:bCs/>
          <w:sz w:val="22"/>
          <w:lang w:val="en-US"/>
        </w:rPr>
        <w:br w:type="page"/>
      </w:r>
    </w:p>
    <w:p w:rsidR="00505276" w:rsidRPr="00505276" w:rsidRDefault="00505276" w:rsidP="00505276">
      <w:pPr>
        <w:spacing w:after="200" w:line="276" w:lineRule="auto"/>
        <w:rPr>
          <w:sz w:val="22"/>
          <w:lang w:val="en-US"/>
        </w:rPr>
      </w:pPr>
      <w:r w:rsidRPr="00505276">
        <w:rPr>
          <w:b/>
          <w:bCs/>
          <w:sz w:val="22"/>
          <w:lang w:val="en-US"/>
        </w:rPr>
        <w:lastRenderedPageBreak/>
        <w:t>Dealing with permitted clients</w:t>
      </w:r>
    </w:p>
    <w:p w:rsidR="00505276" w:rsidRPr="00505276" w:rsidRDefault="00505276" w:rsidP="00505276">
      <w:pPr>
        <w:spacing w:after="200" w:line="276" w:lineRule="auto"/>
        <w:rPr>
          <w:sz w:val="22"/>
          <w:lang w:val="en-US"/>
        </w:rPr>
      </w:pPr>
      <w:r w:rsidRPr="00505276">
        <w:rPr>
          <w:sz w:val="22"/>
          <w:lang w:val="en-US"/>
        </w:rPr>
        <w:t>As indicated above, a person or company who sells or markets the securities of investment funds in Canada must be registered as a dealer and, if applicable, be a member of the appropriate SRO. Section 8.18 of NI 31-103 allows “international dealers” to provide limited services to certain permitted clients in Canada without having to register as a dealer.</w:t>
      </w:r>
    </w:p>
    <w:p w:rsidR="0070235C" w:rsidRDefault="0070235C">
      <w:pPr>
        <w:spacing w:after="200" w:line="276" w:lineRule="auto"/>
        <w:rPr>
          <w:sz w:val="22"/>
        </w:rPr>
      </w:pPr>
      <w:r>
        <w:rPr>
          <w:sz w:val="22"/>
        </w:rPr>
        <w:br w:type="page"/>
      </w:r>
    </w:p>
    <w:p w:rsidR="00683A6A" w:rsidRPr="00361D6B" w:rsidRDefault="00683A6A">
      <w:pPr>
        <w:rPr>
          <w:b/>
          <w:sz w:val="22"/>
          <w:u w:val="single"/>
        </w:rPr>
      </w:pPr>
      <w:r w:rsidRPr="00361D6B">
        <w:rPr>
          <w:b/>
          <w:u w:val="single"/>
        </w:rPr>
        <w:lastRenderedPageBreak/>
        <w:t xml:space="preserve">Q29: </w:t>
      </w:r>
      <w:r w:rsidRPr="00361D6B">
        <w:rPr>
          <w:b/>
          <w:u w:val="single"/>
        </w:rPr>
        <w:tab/>
        <w:t>In what way is your current regime (regulatory, tax etc.) different from the EU framework? Please explain.</w:t>
      </w:r>
    </w:p>
    <w:p w:rsidR="00683A6A" w:rsidRDefault="00683A6A">
      <w:pPr>
        <w:rPr>
          <w:sz w:val="22"/>
        </w:rPr>
      </w:pPr>
    </w:p>
    <w:p w:rsidR="00AC69AA" w:rsidRDefault="0070235C">
      <w:pPr>
        <w:rPr>
          <w:sz w:val="22"/>
        </w:rPr>
      </w:pPr>
      <w:r>
        <w:rPr>
          <w:sz w:val="22"/>
        </w:rPr>
        <w:t xml:space="preserve">To answer this question, we have </w:t>
      </w:r>
      <w:r w:rsidR="0085368D">
        <w:rPr>
          <w:sz w:val="22"/>
        </w:rPr>
        <w:t xml:space="preserve">focused our </w:t>
      </w:r>
      <w:proofErr w:type="gramStart"/>
      <w:r w:rsidR="0085368D">
        <w:rPr>
          <w:sz w:val="22"/>
        </w:rPr>
        <w:t>response  potential</w:t>
      </w:r>
      <w:proofErr w:type="gramEnd"/>
      <w:r w:rsidR="0085368D">
        <w:rPr>
          <w:sz w:val="22"/>
        </w:rPr>
        <w:t xml:space="preserve"> differences on the securities </w:t>
      </w:r>
      <w:r>
        <w:rPr>
          <w:sz w:val="22"/>
        </w:rPr>
        <w:t xml:space="preserve"> </w:t>
      </w:r>
      <w:r w:rsidR="00AC69AA">
        <w:rPr>
          <w:sz w:val="22"/>
        </w:rPr>
        <w:t>regulatory framework and requirements in Canada for:</w:t>
      </w:r>
    </w:p>
    <w:p w:rsidR="0070235C" w:rsidRDefault="00AC69AA" w:rsidP="00361D6B">
      <w:pPr>
        <w:pStyle w:val="ListParagraph"/>
        <w:numPr>
          <w:ilvl w:val="0"/>
          <w:numId w:val="49"/>
        </w:numPr>
        <w:rPr>
          <w:sz w:val="22"/>
        </w:rPr>
      </w:pPr>
      <w:r w:rsidRPr="00361D6B">
        <w:rPr>
          <w:sz w:val="22"/>
        </w:rPr>
        <w:t xml:space="preserve">the entities </w:t>
      </w:r>
      <w:r>
        <w:rPr>
          <w:sz w:val="22"/>
        </w:rPr>
        <w:t xml:space="preserve">and individuals </w:t>
      </w:r>
      <w:r w:rsidRPr="00361D6B">
        <w:rPr>
          <w:sz w:val="22"/>
        </w:rPr>
        <w:t>involved in the operations of an investment fund</w:t>
      </w:r>
      <w:r w:rsidR="00F8430A">
        <w:rPr>
          <w:sz w:val="22"/>
        </w:rPr>
        <w:t>;</w:t>
      </w:r>
      <w:r w:rsidRPr="00361D6B">
        <w:rPr>
          <w:sz w:val="22"/>
        </w:rPr>
        <w:t xml:space="preserve"> and</w:t>
      </w:r>
    </w:p>
    <w:p w:rsidR="00FD6348" w:rsidRPr="00361D6B" w:rsidRDefault="00C45F02" w:rsidP="00361D6B">
      <w:pPr>
        <w:pStyle w:val="ListParagraph"/>
        <w:numPr>
          <w:ilvl w:val="0"/>
          <w:numId w:val="49"/>
        </w:numPr>
        <w:rPr>
          <w:sz w:val="22"/>
        </w:rPr>
      </w:pPr>
      <w:r>
        <w:rPr>
          <w:sz w:val="22"/>
        </w:rPr>
        <w:t>conventional, non-conventional</w:t>
      </w:r>
      <w:r w:rsidR="00AC69AA">
        <w:rPr>
          <w:sz w:val="22"/>
        </w:rPr>
        <w:t xml:space="preserve"> </w:t>
      </w:r>
      <w:r>
        <w:rPr>
          <w:sz w:val="22"/>
        </w:rPr>
        <w:t>and prospectus-exempt investment funds</w:t>
      </w:r>
      <w:r w:rsidR="00FD6348" w:rsidRPr="00361D6B">
        <w:rPr>
          <w:sz w:val="22"/>
        </w:rPr>
        <w:t xml:space="preserve"> </w:t>
      </w:r>
    </w:p>
    <w:p w:rsidR="00AC0292" w:rsidRDefault="0085368D">
      <w:pPr>
        <w:rPr>
          <w:sz w:val="22"/>
        </w:rPr>
      </w:pPr>
      <w:r>
        <w:rPr>
          <w:sz w:val="22"/>
        </w:rPr>
        <w:t>Our response does not address other issues (for example, differences in taxation between the EU framework and Canada).</w:t>
      </w:r>
    </w:p>
    <w:p w:rsidR="00D17C1E" w:rsidRDefault="00D17C1E">
      <w:pPr>
        <w:rPr>
          <w:sz w:val="22"/>
        </w:rPr>
      </w:pPr>
    </w:p>
    <w:p w:rsidR="002B3896" w:rsidRPr="00987B7D" w:rsidRDefault="00987B7D">
      <w:pPr>
        <w:rPr>
          <w:b/>
          <w:sz w:val="22"/>
        </w:rPr>
      </w:pPr>
      <w:r>
        <w:rPr>
          <w:b/>
          <w:sz w:val="22"/>
        </w:rPr>
        <w:t>OVERVIEW</w:t>
      </w:r>
    </w:p>
    <w:p w:rsidR="00B744AF" w:rsidRDefault="00584022" w:rsidP="004B6B58">
      <w:pPr>
        <w:pStyle w:val="NormalWeb"/>
        <w:rPr>
          <w:rFonts w:ascii="Verdana" w:hAnsi="Verdana"/>
          <w:sz w:val="22"/>
          <w:szCs w:val="22"/>
        </w:rPr>
      </w:pPr>
      <w:r w:rsidRPr="00584022">
        <w:rPr>
          <w:rFonts w:ascii="Verdana" w:hAnsi="Verdana"/>
          <w:sz w:val="22"/>
          <w:szCs w:val="22"/>
        </w:rPr>
        <w:t xml:space="preserve">Firms and individuals are </w:t>
      </w:r>
      <w:r w:rsidR="004B6B58" w:rsidRPr="00584022">
        <w:rPr>
          <w:rFonts w:ascii="Verdana" w:hAnsi="Verdana"/>
          <w:sz w:val="22"/>
          <w:szCs w:val="22"/>
        </w:rPr>
        <w:t>required to register with the securities regulatory authority in each province or territory where they do business.</w:t>
      </w:r>
      <w:r w:rsidRPr="00584022">
        <w:rPr>
          <w:rFonts w:ascii="Verdana" w:hAnsi="Verdana"/>
          <w:sz w:val="22"/>
          <w:szCs w:val="22"/>
        </w:rPr>
        <w:t xml:space="preserve">  The registration requirements are set out in </w:t>
      </w:r>
      <w:r w:rsidR="0003362D">
        <w:rPr>
          <w:rFonts w:ascii="Verdana" w:hAnsi="Verdana"/>
          <w:sz w:val="22"/>
          <w:szCs w:val="22"/>
        </w:rPr>
        <w:t xml:space="preserve">securities legislation and </w:t>
      </w:r>
      <w:r w:rsidR="00F23C09" w:rsidRPr="00F23C09">
        <w:rPr>
          <w:rFonts w:ascii="Verdana" w:hAnsi="Verdana"/>
          <w:sz w:val="22"/>
          <w:szCs w:val="22"/>
        </w:rPr>
        <w:t xml:space="preserve">National Instrument 31-103 </w:t>
      </w:r>
      <w:r w:rsidR="00F23C09" w:rsidRPr="00F23C09">
        <w:rPr>
          <w:rFonts w:ascii="Verdana" w:hAnsi="Verdana"/>
          <w:i/>
          <w:sz w:val="22"/>
          <w:szCs w:val="22"/>
        </w:rPr>
        <w:t>Registration Requirements, Exemptions and Ongoing Registrant Obligations</w:t>
      </w:r>
      <w:r w:rsidR="00F23C09" w:rsidRPr="00F23C09">
        <w:rPr>
          <w:rFonts w:ascii="Verdana" w:hAnsi="Verdana"/>
          <w:sz w:val="22"/>
          <w:szCs w:val="22"/>
        </w:rPr>
        <w:t xml:space="preserve"> (</w:t>
      </w:r>
      <w:r w:rsidR="00F23C09" w:rsidRPr="00F23C09">
        <w:rPr>
          <w:rFonts w:ascii="Verdana" w:hAnsi="Verdana"/>
          <w:b/>
          <w:sz w:val="22"/>
          <w:szCs w:val="22"/>
        </w:rPr>
        <w:t>NI 31-103</w:t>
      </w:r>
      <w:r w:rsidR="00F23C09" w:rsidRPr="00F23C09">
        <w:rPr>
          <w:rFonts w:ascii="Verdana" w:hAnsi="Verdana"/>
          <w:sz w:val="22"/>
          <w:szCs w:val="22"/>
        </w:rPr>
        <w:t>)</w:t>
      </w:r>
      <w:r w:rsidRPr="00584022">
        <w:rPr>
          <w:rFonts w:ascii="Verdana" w:hAnsi="Verdana"/>
          <w:sz w:val="22"/>
          <w:szCs w:val="22"/>
        </w:rPr>
        <w:t xml:space="preserve"> and related rules, which create a Canada-wide registration regime.</w:t>
      </w:r>
      <w:r w:rsidR="00B744AF">
        <w:rPr>
          <w:rFonts w:ascii="Verdana" w:hAnsi="Verdana"/>
          <w:sz w:val="22"/>
          <w:szCs w:val="22"/>
        </w:rPr>
        <w:t xml:space="preserve"> </w:t>
      </w:r>
    </w:p>
    <w:p w:rsidR="004B6B58" w:rsidRDefault="00B744AF" w:rsidP="004B6B58">
      <w:pPr>
        <w:pStyle w:val="NormalWeb"/>
        <w:rPr>
          <w:rFonts w:ascii="Verdana" w:hAnsi="Verdana"/>
          <w:sz w:val="22"/>
          <w:szCs w:val="22"/>
        </w:rPr>
      </w:pPr>
      <w:r>
        <w:rPr>
          <w:rFonts w:ascii="Verdana" w:hAnsi="Verdana"/>
          <w:sz w:val="22"/>
          <w:szCs w:val="22"/>
        </w:rPr>
        <w:t xml:space="preserve">As </w:t>
      </w:r>
      <w:r w:rsidR="00F23C09">
        <w:rPr>
          <w:rFonts w:ascii="Verdana" w:hAnsi="Verdana"/>
          <w:sz w:val="22"/>
          <w:szCs w:val="22"/>
        </w:rPr>
        <w:t>noted</w:t>
      </w:r>
      <w:r>
        <w:rPr>
          <w:rFonts w:ascii="Verdana" w:hAnsi="Verdana"/>
          <w:sz w:val="22"/>
          <w:szCs w:val="22"/>
        </w:rPr>
        <w:t xml:space="preserve"> in Q28, e</w:t>
      </w:r>
      <w:r w:rsidRPr="00B744AF">
        <w:rPr>
          <w:rFonts w:ascii="Verdana" w:hAnsi="Verdana"/>
          <w:sz w:val="22"/>
          <w:szCs w:val="22"/>
        </w:rPr>
        <w:t xml:space="preserve">ntities that direct the business, operations or affairs of an investment fund must be registered in the category of </w:t>
      </w:r>
      <w:r w:rsidR="002B3896">
        <w:rPr>
          <w:rFonts w:ascii="Verdana" w:hAnsi="Verdana"/>
          <w:sz w:val="22"/>
          <w:szCs w:val="22"/>
        </w:rPr>
        <w:t>IFM</w:t>
      </w:r>
      <w:r w:rsidRPr="00B744AF">
        <w:rPr>
          <w:rFonts w:ascii="Verdana" w:hAnsi="Verdana"/>
          <w:sz w:val="22"/>
          <w:szCs w:val="22"/>
        </w:rPr>
        <w:t>.  In addition, advisers that provide portfolio advice to an investment fund must be registered in the category of adviser and dealers that market or sell an investment fund must be registered in the category of dealer.</w:t>
      </w:r>
      <w:r>
        <w:rPr>
          <w:rFonts w:ascii="Verdana" w:hAnsi="Verdana"/>
          <w:sz w:val="22"/>
          <w:szCs w:val="22"/>
        </w:rPr>
        <w:t xml:space="preserve">  </w:t>
      </w:r>
      <w:r w:rsidRPr="00B744AF">
        <w:rPr>
          <w:rFonts w:ascii="Verdana" w:hAnsi="Verdana"/>
          <w:sz w:val="22"/>
          <w:szCs w:val="22"/>
        </w:rPr>
        <w:t xml:space="preserve">The requirements in NI 31-103 are intended to ensure that </w:t>
      </w:r>
      <w:r>
        <w:rPr>
          <w:rFonts w:ascii="Verdana" w:hAnsi="Verdana"/>
          <w:sz w:val="22"/>
          <w:szCs w:val="22"/>
        </w:rPr>
        <w:t>firms</w:t>
      </w:r>
      <w:r w:rsidRPr="00B744AF">
        <w:rPr>
          <w:rFonts w:ascii="Verdana" w:hAnsi="Verdana"/>
          <w:sz w:val="22"/>
          <w:szCs w:val="22"/>
        </w:rPr>
        <w:t xml:space="preserve"> have sufficient proficiency, integrity and solvency (including prescribed capital) to adequately carry out their functions.</w:t>
      </w:r>
    </w:p>
    <w:p w:rsidR="002B3896" w:rsidRPr="002B3896" w:rsidRDefault="002B3896" w:rsidP="002B3896">
      <w:pPr>
        <w:pStyle w:val="NormalWeb"/>
        <w:rPr>
          <w:rFonts w:ascii="Verdana" w:hAnsi="Verdana"/>
          <w:sz w:val="22"/>
          <w:szCs w:val="22"/>
        </w:rPr>
      </w:pPr>
      <w:r w:rsidRPr="002B3896">
        <w:rPr>
          <w:rFonts w:ascii="Verdana" w:hAnsi="Verdana"/>
          <w:sz w:val="22"/>
          <w:szCs w:val="22"/>
        </w:rPr>
        <w:t xml:space="preserve">In addition to the requirements under NI 31-103, an IFM is subject to a standard of care where, in exercising its powers and discharging its duties related to the management of the </w:t>
      </w:r>
      <w:r>
        <w:rPr>
          <w:rFonts w:ascii="Verdana" w:hAnsi="Verdana"/>
          <w:sz w:val="22"/>
          <w:szCs w:val="22"/>
        </w:rPr>
        <w:t>investment fund</w:t>
      </w:r>
      <w:r w:rsidRPr="002B3896">
        <w:rPr>
          <w:rFonts w:ascii="Verdana" w:hAnsi="Verdana"/>
          <w:sz w:val="22"/>
          <w:szCs w:val="22"/>
        </w:rPr>
        <w:t xml:space="preserve">, it must: </w:t>
      </w:r>
    </w:p>
    <w:p w:rsidR="002B3896" w:rsidRPr="002B3896" w:rsidRDefault="002B3896" w:rsidP="002B3896">
      <w:pPr>
        <w:pStyle w:val="NormalWeb"/>
        <w:numPr>
          <w:ilvl w:val="0"/>
          <w:numId w:val="29"/>
        </w:numPr>
        <w:rPr>
          <w:rFonts w:ascii="Verdana" w:hAnsi="Verdana"/>
          <w:sz w:val="22"/>
          <w:szCs w:val="22"/>
        </w:rPr>
      </w:pPr>
      <w:r w:rsidRPr="002B3896">
        <w:rPr>
          <w:rFonts w:ascii="Verdana" w:hAnsi="Verdana"/>
          <w:sz w:val="22"/>
          <w:szCs w:val="22"/>
        </w:rPr>
        <w:t xml:space="preserve">act honestly, in good faith and in the best interests of the </w:t>
      </w:r>
      <w:r>
        <w:rPr>
          <w:rFonts w:ascii="Verdana" w:hAnsi="Verdana"/>
          <w:sz w:val="22"/>
          <w:szCs w:val="22"/>
        </w:rPr>
        <w:t>investment fund</w:t>
      </w:r>
      <w:r w:rsidRPr="002B3896">
        <w:rPr>
          <w:rFonts w:ascii="Verdana" w:hAnsi="Verdana"/>
          <w:sz w:val="22"/>
          <w:szCs w:val="22"/>
        </w:rPr>
        <w:t xml:space="preserve"> and</w:t>
      </w:r>
    </w:p>
    <w:p w:rsidR="002B3896" w:rsidRPr="002B3896" w:rsidRDefault="002B3896" w:rsidP="002B3896">
      <w:pPr>
        <w:pStyle w:val="NormalWeb"/>
        <w:numPr>
          <w:ilvl w:val="0"/>
          <w:numId w:val="29"/>
        </w:numPr>
        <w:rPr>
          <w:rFonts w:ascii="Verdana" w:hAnsi="Verdana"/>
          <w:sz w:val="22"/>
          <w:szCs w:val="22"/>
        </w:rPr>
      </w:pPr>
      <w:proofErr w:type="gramStart"/>
      <w:r w:rsidRPr="002B3896">
        <w:rPr>
          <w:rFonts w:ascii="Verdana" w:hAnsi="Verdana"/>
          <w:sz w:val="22"/>
          <w:szCs w:val="22"/>
        </w:rPr>
        <w:t>exercise</w:t>
      </w:r>
      <w:proofErr w:type="gramEnd"/>
      <w:r w:rsidRPr="002B3896">
        <w:rPr>
          <w:rFonts w:ascii="Verdana" w:hAnsi="Verdana"/>
          <w:sz w:val="22"/>
          <w:szCs w:val="22"/>
        </w:rPr>
        <w:t xml:space="preserve"> the degree of care, diligence and skill that a reasonably prudent person would exercise in the circumstances.</w:t>
      </w:r>
    </w:p>
    <w:p w:rsidR="002B3896" w:rsidRPr="002B3896" w:rsidRDefault="002B3896" w:rsidP="002B3896">
      <w:pPr>
        <w:pStyle w:val="NormalWeb"/>
        <w:rPr>
          <w:rFonts w:ascii="Verdana" w:hAnsi="Verdana"/>
          <w:sz w:val="22"/>
          <w:szCs w:val="22"/>
        </w:rPr>
      </w:pPr>
      <w:r w:rsidRPr="002B3896">
        <w:rPr>
          <w:rFonts w:ascii="Verdana" w:hAnsi="Verdana"/>
          <w:sz w:val="22"/>
          <w:szCs w:val="22"/>
        </w:rPr>
        <w:t xml:space="preserve">The </w:t>
      </w:r>
      <w:r>
        <w:rPr>
          <w:rFonts w:ascii="Verdana" w:hAnsi="Verdana"/>
          <w:sz w:val="22"/>
          <w:szCs w:val="22"/>
        </w:rPr>
        <w:t>investment funds</w:t>
      </w:r>
      <w:r w:rsidRPr="002B3896">
        <w:rPr>
          <w:rFonts w:ascii="Verdana" w:hAnsi="Verdana"/>
          <w:sz w:val="22"/>
          <w:szCs w:val="22"/>
        </w:rPr>
        <w:t xml:space="preserve"> themselves are subject to prospectus and operational requirements contained in various National Instruments. </w:t>
      </w:r>
      <w:r w:rsidR="005A7697">
        <w:rPr>
          <w:rFonts w:ascii="Verdana" w:hAnsi="Verdana"/>
          <w:sz w:val="22"/>
          <w:szCs w:val="22"/>
        </w:rPr>
        <w:t xml:space="preserve"> </w:t>
      </w:r>
      <w:r w:rsidRPr="005A7697">
        <w:rPr>
          <w:rFonts w:ascii="Verdana" w:hAnsi="Verdana"/>
          <w:b/>
          <w:sz w:val="22"/>
          <w:szCs w:val="22"/>
        </w:rPr>
        <w:t xml:space="preserve">Appendix </w:t>
      </w:r>
      <w:r w:rsidR="0036470C" w:rsidRPr="005A7697">
        <w:rPr>
          <w:rFonts w:ascii="Verdana" w:hAnsi="Verdana"/>
          <w:b/>
          <w:sz w:val="22"/>
          <w:szCs w:val="22"/>
        </w:rPr>
        <w:t>A</w:t>
      </w:r>
      <w:r w:rsidRPr="002B3896">
        <w:rPr>
          <w:rFonts w:ascii="Verdana" w:hAnsi="Verdana"/>
          <w:sz w:val="22"/>
          <w:szCs w:val="22"/>
        </w:rPr>
        <w:t xml:space="preserve"> presents a table that references conventional and non-conventional </w:t>
      </w:r>
      <w:r w:rsidR="0036470C">
        <w:rPr>
          <w:rFonts w:ascii="Verdana" w:hAnsi="Verdana"/>
          <w:sz w:val="22"/>
          <w:szCs w:val="22"/>
        </w:rPr>
        <w:t>investment fund</w:t>
      </w:r>
      <w:r w:rsidR="00F23C09">
        <w:rPr>
          <w:rFonts w:ascii="Verdana" w:hAnsi="Verdana"/>
          <w:sz w:val="22"/>
          <w:szCs w:val="22"/>
        </w:rPr>
        <w:t>s</w:t>
      </w:r>
      <w:r w:rsidRPr="002B3896">
        <w:rPr>
          <w:rFonts w:ascii="Verdana" w:hAnsi="Verdana"/>
          <w:sz w:val="22"/>
          <w:szCs w:val="22"/>
        </w:rPr>
        <w:t xml:space="preserve"> to the applicable National Instruments. </w:t>
      </w:r>
      <w:r w:rsidR="005A7697">
        <w:rPr>
          <w:rFonts w:ascii="Verdana" w:hAnsi="Verdana"/>
          <w:sz w:val="22"/>
          <w:szCs w:val="22"/>
        </w:rPr>
        <w:t xml:space="preserve"> </w:t>
      </w:r>
      <w:r w:rsidRPr="002B3896">
        <w:rPr>
          <w:rFonts w:ascii="Verdana" w:hAnsi="Verdana"/>
          <w:sz w:val="22"/>
          <w:szCs w:val="22"/>
        </w:rPr>
        <w:t xml:space="preserve">These instruments generally do not apply to prospectus-exempt </w:t>
      </w:r>
      <w:r w:rsidR="0036470C">
        <w:rPr>
          <w:rFonts w:ascii="Verdana" w:hAnsi="Verdana"/>
          <w:sz w:val="22"/>
          <w:szCs w:val="22"/>
        </w:rPr>
        <w:t>investment fund</w:t>
      </w:r>
      <w:r w:rsidR="00F23C09">
        <w:rPr>
          <w:rFonts w:ascii="Verdana" w:hAnsi="Verdana"/>
          <w:sz w:val="22"/>
          <w:szCs w:val="22"/>
        </w:rPr>
        <w:t>s</w:t>
      </w:r>
      <w:r w:rsidRPr="002B3896">
        <w:rPr>
          <w:rFonts w:ascii="Verdana" w:hAnsi="Verdana"/>
          <w:sz w:val="22"/>
          <w:szCs w:val="22"/>
        </w:rPr>
        <w:t xml:space="preserve">. </w:t>
      </w:r>
      <w:r w:rsidR="005A7697">
        <w:rPr>
          <w:rFonts w:ascii="Verdana" w:hAnsi="Verdana"/>
          <w:sz w:val="22"/>
          <w:szCs w:val="22"/>
        </w:rPr>
        <w:t xml:space="preserve"> </w:t>
      </w:r>
      <w:r w:rsidRPr="002B3896">
        <w:rPr>
          <w:rFonts w:ascii="Verdana" w:hAnsi="Verdana"/>
          <w:sz w:val="22"/>
          <w:szCs w:val="22"/>
        </w:rPr>
        <w:t xml:space="preserve">Please refer to the </w:t>
      </w:r>
      <w:r w:rsidR="00B5086B" w:rsidRPr="00B5086B">
        <w:rPr>
          <w:rFonts w:ascii="Verdana" w:hAnsi="Verdana"/>
          <w:b/>
          <w:sz w:val="22"/>
          <w:szCs w:val="22"/>
        </w:rPr>
        <w:t>Working</w:t>
      </w:r>
      <w:r w:rsidR="00B5086B">
        <w:rPr>
          <w:rFonts w:ascii="Verdana" w:hAnsi="Verdana"/>
          <w:sz w:val="22"/>
          <w:szCs w:val="22"/>
        </w:rPr>
        <w:t xml:space="preserve"> </w:t>
      </w:r>
      <w:r w:rsidRPr="00B5086B">
        <w:rPr>
          <w:rFonts w:ascii="Verdana" w:hAnsi="Verdana"/>
          <w:b/>
          <w:sz w:val="22"/>
          <w:szCs w:val="22"/>
        </w:rPr>
        <w:t>Definitions</w:t>
      </w:r>
      <w:r w:rsidRPr="002B3896">
        <w:rPr>
          <w:rFonts w:ascii="Verdana" w:hAnsi="Verdana"/>
          <w:sz w:val="22"/>
          <w:szCs w:val="22"/>
        </w:rPr>
        <w:t xml:space="preserve"> below for a description of the various </w:t>
      </w:r>
      <w:r w:rsidR="0036470C">
        <w:rPr>
          <w:rFonts w:ascii="Verdana" w:hAnsi="Verdana"/>
          <w:sz w:val="22"/>
          <w:szCs w:val="22"/>
        </w:rPr>
        <w:t>investment funds</w:t>
      </w:r>
      <w:r w:rsidRPr="002B3896">
        <w:rPr>
          <w:rFonts w:ascii="Verdana" w:hAnsi="Verdana"/>
          <w:sz w:val="22"/>
          <w:szCs w:val="22"/>
        </w:rPr>
        <w:t>.</w:t>
      </w:r>
    </w:p>
    <w:p w:rsidR="002B3896" w:rsidRPr="002B3896" w:rsidRDefault="002B3896" w:rsidP="002B3896">
      <w:pPr>
        <w:pStyle w:val="NormalWeb"/>
        <w:rPr>
          <w:rFonts w:ascii="Verdana" w:hAnsi="Verdana"/>
          <w:sz w:val="22"/>
          <w:szCs w:val="22"/>
        </w:rPr>
      </w:pPr>
      <w:r w:rsidRPr="002B3896">
        <w:rPr>
          <w:rFonts w:ascii="Verdana" w:hAnsi="Verdana"/>
          <w:sz w:val="22"/>
          <w:szCs w:val="22"/>
        </w:rPr>
        <w:t xml:space="preserve">The National Instruments contain comprehensive requirements for the </w:t>
      </w:r>
      <w:r w:rsidR="0036470C">
        <w:rPr>
          <w:rFonts w:ascii="Verdana" w:hAnsi="Verdana"/>
          <w:sz w:val="22"/>
          <w:szCs w:val="22"/>
        </w:rPr>
        <w:t>investment fund</w:t>
      </w:r>
      <w:r w:rsidRPr="002B3896">
        <w:rPr>
          <w:rFonts w:ascii="Verdana" w:hAnsi="Verdana"/>
          <w:sz w:val="22"/>
          <w:szCs w:val="22"/>
        </w:rPr>
        <w:t xml:space="preserve"> and/or the IFM related to prospectus filing and disclosure, and operational </w:t>
      </w:r>
      <w:r w:rsidRPr="002B3896">
        <w:rPr>
          <w:rFonts w:ascii="Verdana" w:hAnsi="Verdana"/>
          <w:sz w:val="22"/>
          <w:szCs w:val="22"/>
        </w:rPr>
        <w:lastRenderedPageBreak/>
        <w:t xml:space="preserve">requirements in areas such as portfolio investments of the </w:t>
      </w:r>
      <w:r w:rsidR="0036470C">
        <w:rPr>
          <w:rFonts w:ascii="Verdana" w:hAnsi="Verdana"/>
          <w:sz w:val="22"/>
          <w:szCs w:val="22"/>
        </w:rPr>
        <w:t>investment fund</w:t>
      </w:r>
      <w:r w:rsidRPr="002B3896">
        <w:rPr>
          <w:rFonts w:ascii="Verdana" w:hAnsi="Verdana"/>
          <w:sz w:val="22"/>
          <w:szCs w:val="22"/>
        </w:rPr>
        <w:t>, conflicts of interest, custodianship of assets, continuous disclosure, purchases and redemptions of securities</w:t>
      </w:r>
      <w:r w:rsidR="0036470C">
        <w:rPr>
          <w:rFonts w:ascii="Verdana" w:hAnsi="Verdana"/>
          <w:sz w:val="22"/>
          <w:szCs w:val="22"/>
        </w:rPr>
        <w:t xml:space="preserve"> in the investment fund</w:t>
      </w:r>
      <w:r w:rsidRPr="002B3896">
        <w:rPr>
          <w:rFonts w:ascii="Verdana" w:hAnsi="Verdana"/>
          <w:sz w:val="22"/>
          <w:szCs w:val="22"/>
        </w:rPr>
        <w:t xml:space="preserve">, and sales practices. </w:t>
      </w:r>
      <w:r w:rsidR="005A7697">
        <w:rPr>
          <w:rFonts w:ascii="Verdana" w:hAnsi="Verdana"/>
          <w:sz w:val="22"/>
          <w:szCs w:val="22"/>
        </w:rPr>
        <w:t xml:space="preserve"> </w:t>
      </w:r>
      <w:r w:rsidRPr="002B3896">
        <w:rPr>
          <w:rFonts w:ascii="Verdana" w:hAnsi="Verdana"/>
          <w:sz w:val="22"/>
          <w:szCs w:val="22"/>
        </w:rPr>
        <w:t>Similar to the NI 31-103 requirements, the relevant provisions of these instruments are highlighted as appropriate in this response.</w:t>
      </w:r>
    </w:p>
    <w:p w:rsidR="002B3896" w:rsidRPr="002B3896" w:rsidRDefault="002B3896" w:rsidP="0049005F">
      <w:pPr>
        <w:rPr>
          <w:sz w:val="22"/>
        </w:rPr>
      </w:pPr>
      <w:r w:rsidRPr="002B3896">
        <w:rPr>
          <w:sz w:val="22"/>
        </w:rPr>
        <w:t xml:space="preserve">The registration requirements and ongoing obligations of IFMs, advisers and dealers under </w:t>
      </w:r>
      <w:r w:rsidR="0003362D">
        <w:rPr>
          <w:sz w:val="22"/>
        </w:rPr>
        <w:t>securities legislation</w:t>
      </w:r>
      <w:r w:rsidRPr="002B3896">
        <w:rPr>
          <w:sz w:val="22"/>
        </w:rPr>
        <w:t xml:space="preserve">, combined with the rules applicable to </w:t>
      </w:r>
      <w:r w:rsidR="0036470C">
        <w:rPr>
          <w:sz w:val="22"/>
        </w:rPr>
        <w:t>investment funds</w:t>
      </w:r>
      <w:r w:rsidRPr="002B3896">
        <w:rPr>
          <w:sz w:val="22"/>
        </w:rPr>
        <w:t xml:space="preserve"> under the various National Instruments provide adequate standards over the initial approval and continuing operation of </w:t>
      </w:r>
      <w:r w:rsidR="0036470C">
        <w:rPr>
          <w:sz w:val="22"/>
        </w:rPr>
        <w:t xml:space="preserve">adviser, dealers, and </w:t>
      </w:r>
      <w:r w:rsidRPr="002B3896">
        <w:rPr>
          <w:sz w:val="22"/>
        </w:rPr>
        <w:t xml:space="preserve">IFMs and their respective </w:t>
      </w:r>
      <w:r w:rsidR="0036470C">
        <w:rPr>
          <w:sz w:val="22"/>
        </w:rPr>
        <w:t>investment funds</w:t>
      </w:r>
      <w:r w:rsidRPr="002B3896">
        <w:rPr>
          <w:sz w:val="22"/>
        </w:rPr>
        <w:t xml:space="preserve">. </w:t>
      </w:r>
      <w:r w:rsidR="005A7697">
        <w:rPr>
          <w:sz w:val="22"/>
        </w:rPr>
        <w:t xml:space="preserve"> </w:t>
      </w:r>
      <w:r w:rsidRPr="002B3896">
        <w:rPr>
          <w:sz w:val="22"/>
        </w:rPr>
        <w:t>Further, the regulator can assess compliance with these regulatory requirements through its power to perform inspections and investigations, the review of mandated regulatory filings, as well as with the use of various other regulatory tools that may vary by jurisdiction.</w:t>
      </w:r>
    </w:p>
    <w:p w:rsidR="005A7697" w:rsidRDefault="005A7697" w:rsidP="0049005F">
      <w:pPr>
        <w:rPr>
          <w:sz w:val="22"/>
        </w:rPr>
      </w:pPr>
    </w:p>
    <w:p w:rsidR="005A3A53" w:rsidRPr="0049005F" w:rsidRDefault="005A3A53" w:rsidP="0049005F">
      <w:pPr>
        <w:rPr>
          <w:sz w:val="22"/>
        </w:rPr>
      </w:pPr>
    </w:p>
    <w:p w:rsidR="00AC0292" w:rsidRPr="00987B7D" w:rsidRDefault="00B5086B" w:rsidP="0049005F">
      <w:pPr>
        <w:rPr>
          <w:sz w:val="22"/>
        </w:rPr>
      </w:pPr>
      <w:r>
        <w:rPr>
          <w:b/>
          <w:sz w:val="22"/>
        </w:rPr>
        <w:t xml:space="preserve">WORKING </w:t>
      </w:r>
      <w:r w:rsidR="00987B7D" w:rsidRPr="00987B7D">
        <w:rPr>
          <w:b/>
          <w:sz w:val="22"/>
        </w:rPr>
        <w:t>DEFINITIONS</w:t>
      </w:r>
    </w:p>
    <w:p w:rsidR="005A7697" w:rsidRDefault="005A7697" w:rsidP="005A7697">
      <w:pPr>
        <w:rPr>
          <w:sz w:val="22"/>
        </w:rPr>
      </w:pPr>
      <w:r w:rsidRPr="005A7697">
        <w:rPr>
          <w:sz w:val="22"/>
        </w:rPr>
        <w:t xml:space="preserve">Within the respective securities legislation of </w:t>
      </w:r>
      <w:r w:rsidR="0085368D">
        <w:rPr>
          <w:sz w:val="22"/>
        </w:rPr>
        <w:t xml:space="preserve">each province and territory of </w:t>
      </w:r>
      <w:proofErr w:type="gramStart"/>
      <w:r w:rsidR="0085368D">
        <w:rPr>
          <w:sz w:val="22"/>
        </w:rPr>
        <w:t xml:space="preserve">Canada </w:t>
      </w:r>
      <w:r w:rsidRPr="005A7697">
        <w:rPr>
          <w:sz w:val="22"/>
        </w:rPr>
        <w:t>,</w:t>
      </w:r>
      <w:proofErr w:type="gramEnd"/>
      <w:r w:rsidRPr="005A7697">
        <w:rPr>
          <w:sz w:val="22"/>
        </w:rPr>
        <w:t xml:space="preserve"> an investment fund means a mutual fund or a non-redeemable investment fund. </w:t>
      </w:r>
      <w:r>
        <w:rPr>
          <w:sz w:val="22"/>
        </w:rPr>
        <w:t xml:space="preserve"> In the response</w:t>
      </w:r>
      <w:r w:rsidRPr="005A7697">
        <w:rPr>
          <w:sz w:val="22"/>
        </w:rPr>
        <w:t xml:space="preserve"> to this </w:t>
      </w:r>
      <w:r>
        <w:rPr>
          <w:sz w:val="22"/>
        </w:rPr>
        <w:t>question</w:t>
      </w:r>
      <w:r w:rsidRPr="005A7697">
        <w:rPr>
          <w:sz w:val="22"/>
        </w:rPr>
        <w:t xml:space="preserve">, we use the following terms to describe the </w:t>
      </w:r>
      <w:r>
        <w:rPr>
          <w:sz w:val="22"/>
        </w:rPr>
        <w:t>investment funds</w:t>
      </w:r>
      <w:r w:rsidRPr="005A7697">
        <w:rPr>
          <w:sz w:val="22"/>
        </w:rPr>
        <w:t xml:space="preserve"> in the marketplace.</w:t>
      </w:r>
    </w:p>
    <w:p w:rsidR="0049005F" w:rsidRPr="005A7697" w:rsidRDefault="0049005F" w:rsidP="005A7697">
      <w:pPr>
        <w:rPr>
          <w:sz w:val="22"/>
        </w:rPr>
      </w:pPr>
    </w:p>
    <w:p w:rsidR="005A7697" w:rsidRPr="005A7697" w:rsidRDefault="005A7697" w:rsidP="005A7697">
      <w:pPr>
        <w:rPr>
          <w:b/>
          <w:sz w:val="22"/>
        </w:rPr>
      </w:pPr>
      <w:r w:rsidRPr="005A7697">
        <w:rPr>
          <w:b/>
          <w:sz w:val="22"/>
        </w:rPr>
        <w:t xml:space="preserve">Conventional </w:t>
      </w:r>
      <w:r>
        <w:rPr>
          <w:b/>
          <w:sz w:val="22"/>
        </w:rPr>
        <w:t>investment fund</w:t>
      </w:r>
      <w:r w:rsidR="00510995">
        <w:rPr>
          <w:b/>
          <w:sz w:val="22"/>
        </w:rPr>
        <w:t>s</w:t>
      </w:r>
    </w:p>
    <w:p w:rsidR="005A7697" w:rsidRPr="005A7697" w:rsidRDefault="005A7697" w:rsidP="005A7697">
      <w:pPr>
        <w:rPr>
          <w:sz w:val="22"/>
        </w:rPr>
      </w:pPr>
      <w:r w:rsidRPr="005A7697">
        <w:rPr>
          <w:sz w:val="22"/>
        </w:rPr>
        <w:t xml:space="preserve">A conventional </w:t>
      </w:r>
      <w:r>
        <w:rPr>
          <w:sz w:val="22"/>
        </w:rPr>
        <w:t>investment fund</w:t>
      </w:r>
      <w:r w:rsidRPr="005A7697">
        <w:rPr>
          <w:sz w:val="22"/>
        </w:rPr>
        <w:t xml:space="preserve"> is a mutual fund that offers securities that are redeemable on demand by investors for a proportionate interest of the mutual fund’s net assets. </w:t>
      </w:r>
      <w:r>
        <w:rPr>
          <w:sz w:val="22"/>
        </w:rPr>
        <w:t xml:space="preserve"> </w:t>
      </w:r>
      <w:r w:rsidRPr="005A7697">
        <w:rPr>
          <w:sz w:val="22"/>
        </w:rPr>
        <w:t xml:space="preserve">These securities are offered continuously and are not listed on a stock exchange. </w:t>
      </w:r>
      <w:r>
        <w:rPr>
          <w:sz w:val="22"/>
        </w:rPr>
        <w:t xml:space="preserve"> </w:t>
      </w:r>
      <w:r w:rsidRPr="005A7697">
        <w:rPr>
          <w:sz w:val="22"/>
        </w:rPr>
        <w:t xml:space="preserve">In order to sell securities to the public, </w:t>
      </w:r>
      <w:r>
        <w:rPr>
          <w:sz w:val="22"/>
        </w:rPr>
        <w:t>National Instrument</w:t>
      </w:r>
      <w:r w:rsidRPr="00F23C09">
        <w:rPr>
          <w:sz w:val="22"/>
        </w:rPr>
        <w:t xml:space="preserve"> 81-101 </w:t>
      </w:r>
      <w:r w:rsidRPr="00F23C09">
        <w:rPr>
          <w:i/>
          <w:sz w:val="22"/>
        </w:rPr>
        <w:t>Mutual Fund Prospectus Disclosure</w:t>
      </w:r>
      <w:r w:rsidRPr="005A7697">
        <w:rPr>
          <w:sz w:val="22"/>
        </w:rPr>
        <w:t xml:space="preserve"> </w:t>
      </w:r>
      <w:r>
        <w:rPr>
          <w:sz w:val="22"/>
        </w:rPr>
        <w:t>(</w:t>
      </w:r>
      <w:r w:rsidRPr="005A7697">
        <w:rPr>
          <w:b/>
          <w:sz w:val="22"/>
        </w:rPr>
        <w:t>NI 81-101</w:t>
      </w:r>
      <w:r>
        <w:rPr>
          <w:sz w:val="22"/>
        </w:rPr>
        <w:t xml:space="preserve">) </w:t>
      </w:r>
      <w:r w:rsidRPr="005A7697">
        <w:rPr>
          <w:sz w:val="22"/>
        </w:rPr>
        <w:t>requires a conventional mutual fund to prepare and file:</w:t>
      </w:r>
    </w:p>
    <w:p w:rsidR="005A7697" w:rsidRPr="005A7697" w:rsidRDefault="005A7697" w:rsidP="005A7697">
      <w:pPr>
        <w:numPr>
          <w:ilvl w:val="0"/>
          <w:numId w:val="30"/>
        </w:numPr>
        <w:rPr>
          <w:sz w:val="22"/>
        </w:rPr>
      </w:pPr>
      <w:r w:rsidRPr="005A7697">
        <w:rPr>
          <w:sz w:val="22"/>
        </w:rPr>
        <w:t>a simplified prospectus</w:t>
      </w:r>
    </w:p>
    <w:p w:rsidR="005A7697" w:rsidRPr="005A7697" w:rsidRDefault="005A7697" w:rsidP="005A7697">
      <w:pPr>
        <w:numPr>
          <w:ilvl w:val="0"/>
          <w:numId w:val="30"/>
        </w:numPr>
        <w:rPr>
          <w:sz w:val="22"/>
        </w:rPr>
      </w:pPr>
      <w:r w:rsidRPr="005A7697">
        <w:rPr>
          <w:sz w:val="22"/>
        </w:rPr>
        <w:t>an annual information form (</w:t>
      </w:r>
      <w:r w:rsidRPr="005A7697">
        <w:rPr>
          <w:b/>
          <w:sz w:val="22"/>
        </w:rPr>
        <w:t>AIF</w:t>
      </w:r>
      <w:r w:rsidRPr="005A7697">
        <w:rPr>
          <w:sz w:val="22"/>
        </w:rPr>
        <w:t>), and</w:t>
      </w:r>
    </w:p>
    <w:p w:rsidR="005A7697" w:rsidRPr="005A7697" w:rsidRDefault="005A7697" w:rsidP="005A7697">
      <w:pPr>
        <w:numPr>
          <w:ilvl w:val="0"/>
          <w:numId w:val="30"/>
        </w:numPr>
        <w:rPr>
          <w:sz w:val="22"/>
        </w:rPr>
      </w:pPr>
      <w:proofErr w:type="gramStart"/>
      <w:r w:rsidRPr="005A7697">
        <w:rPr>
          <w:sz w:val="22"/>
        </w:rPr>
        <w:t>a</w:t>
      </w:r>
      <w:proofErr w:type="gramEnd"/>
      <w:r w:rsidRPr="005A7697">
        <w:rPr>
          <w:sz w:val="22"/>
        </w:rPr>
        <w:t xml:space="preserve"> Fund Facts document for every class or series of a mutual fund.</w:t>
      </w:r>
    </w:p>
    <w:p w:rsidR="005A7697" w:rsidRPr="005A7697" w:rsidRDefault="005A7697" w:rsidP="005A7697">
      <w:pPr>
        <w:rPr>
          <w:sz w:val="22"/>
        </w:rPr>
      </w:pPr>
    </w:p>
    <w:p w:rsidR="005A7697" w:rsidRPr="005A7697" w:rsidRDefault="005A7697" w:rsidP="005A7697">
      <w:pPr>
        <w:rPr>
          <w:b/>
          <w:sz w:val="22"/>
        </w:rPr>
      </w:pPr>
      <w:r w:rsidRPr="005A7697">
        <w:rPr>
          <w:b/>
          <w:sz w:val="22"/>
        </w:rPr>
        <w:t>Non-conventional investment fund</w:t>
      </w:r>
      <w:r w:rsidR="00510995">
        <w:rPr>
          <w:b/>
          <w:sz w:val="22"/>
        </w:rPr>
        <w:t>s</w:t>
      </w:r>
    </w:p>
    <w:p w:rsidR="005A7697" w:rsidRPr="005A7697" w:rsidRDefault="005A7697" w:rsidP="005A7697">
      <w:pPr>
        <w:rPr>
          <w:sz w:val="22"/>
        </w:rPr>
      </w:pPr>
      <w:r w:rsidRPr="005A7697">
        <w:rPr>
          <w:sz w:val="22"/>
        </w:rPr>
        <w:t xml:space="preserve">A non-conventional investment fund is an investment fund that may not be in continuous distribution (closed end), may be listed on an exchange whereby most of its trading is done in the secondary market and generally, limits the ability of security holders to redeem at the net asset value. </w:t>
      </w:r>
      <w:r>
        <w:rPr>
          <w:sz w:val="22"/>
        </w:rPr>
        <w:t xml:space="preserve"> </w:t>
      </w:r>
      <w:r w:rsidRPr="005A7697">
        <w:rPr>
          <w:sz w:val="22"/>
        </w:rPr>
        <w:t xml:space="preserve">A non-conventional investment fund must prepare a prospectus in accordance with National Instrument 41-101 </w:t>
      </w:r>
      <w:r w:rsidRPr="005A7697">
        <w:rPr>
          <w:i/>
          <w:sz w:val="22"/>
        </w:rPr>
        <w:t xml:space="preserve">General Prospectus Requirements </w:t>
      </w:r>
      <w:r w:rsidRPr="005A7697">
        <w:rPr>
          <w:sz w:val="22"/>
        </w:rPr>
        <w:t>(</w:t>
      </w:r>
      <w:r w:rsidRPr="005A7697">
        <w:rPr>
          <w:b/>
          <w:sz w:val="22"/>
        </w:rPr>
        <w:t>NI 41-101</w:t>
      </w:r>
      <w:r w:rsidRPr="005A7697">
        <w:rPr>
          <w:sz w:val="22"/>
        </w:rPr>
        <w:t>).</w:t>
      </w:r>
    </w:p>
    <w:p w:rsidR="005A7697" w:rsidRPr="005A7697" w:rsidRDefault="005A7697" w:rsidP="005A7697">
      <w:pPr>
        <w:rPr>
          <w:sz w:val="22"/>
        </w:rPr>
      </w:pPr>
    </w:p>
    <w:p w:rsidR="00D17C1E" w:rsidRDefault="00D17C1E">
      <w:pPr>
        <w:spacing w:after="200" w:line="276" w:lineRule="auto"/>
        <w:rPr>
          <w:b/>
          <w:sz w:val="22"/>
        </w:rPr>
      </w:pPr>
      <w:r>
        <w:rPr>
          <w:b/>
          <w:sz w:val="22"/>
        </w:rPr>
        <w:lastRenderedPageBreak/>
        <w:br w:type="page"/>
      </w:r>
    </w:p>
    <w:p w:rsidR="005A7697" w:rsidRPr="005A7697" w:rsidRDefault="005A7697" w:rsidP="005A7697">
      <w:pPr>
        <w:rPr>
          <w:b/>
          <w:sz w:val="22"/>
        </w:rPr>
      </w:pPr>
      <w:r w:rsidRPr="005A7697">
        <w:rPr>
          <w:b/>
          <w:sz w:val="22"/>
        </w:rPr>
        <w:lastRenderedPageBreak/>
        <w:t>Prospectus-exempt investment fund</w:t>
      </w:r>
      <w:r w:rsidR="00510995">
        <w:rPr>
          <w:b/>
          <w:sz w:val="22"/>
        </w:rPr>
        <w:t>s</w:t>
      </w:r>
    </w:p>
    <w:p w:rsidR="005A7697" w:rsidRPr="005A7697" w:rsidRDefault="005A7697" w:rsidP="005A7697">
      <w:pPr>
        <w:rPr>
          <w:sz w:val="22"/>
        </w:rPr>
      </w:pPr>
      <w:r w:rsidRPr="005A7697">
        <w:rPr>
          <w:sz w:val="22"/>
        </w:rPr>
        <w:t>A prospectus-exempt investment fund is a</w:t>
      </w:r>
      <w:r>
        <w:rPr>
          <w:sz w:val="22"/>
        </w:rPr>
        <w:t>n</w:t>
      </w:r>
      <w:r w:rsidRPr="005A7697">
        <w:rPr>
          <w:sz w:val="22"/>
        </w:rPr>
        <w:t xml:space="preserve"> investment fund whose securities are distributed pursuant to an exemption from the prospectus requirements. The majority of prospectus exemptions are set out in National Instrument 45-106 </w:t>
      </w:r>
      <w:r w:rsidRPr="005A7697">
        <w:rPr>
          <w:i/>
          <w:sz w:val="22"/>
        </w:rPr>
        <w:t xml:space="preserve">Prospectus and Registration Exemptions </w:t>
      </w:r>
      <w:r w:rsidRPr="005A7697">
        <w:rPr>
          <w:sz w:val="22"/>
        </w:rPr>
        <w:t>(</w:t>
      </w:r>
      <w:r w:rsidRPr="005A7697">
        <w:rPr>
          <w:b/>
          <w:sz w:val="22"/>
        </w:rPr>
        <w:t>NI 45-106</w:t>
      </w:r>
      <w:r w:rsidRPr="005A7697">
        <w:rPr>
          <w:sz w:val="22"/>
        </w:rPr>
        <w:t xml:space="preserve">).  </w:t>
      </w:r>
    </w:p>
    <w:p w:rsidR="00F23C09" w:rsidRDefault="00F23C09">
      <w:pPr>
        <w:rPr>
          <w:sz w:val="22"/>
        </w:rPr>
      </w:pPr>
    </w:p>
    <w:p w:rsidR="00B5086B" w:rsidRPr="00B5086B" w:rsidRDefault="00B5086B" w:rsidP="00B5086B">
      <w:pPr>
        <w:rPr>
          <w:sz w:val="22"/>
        </w:rPr>
      </w:pPr>
      <w:r w:rsidRPr="00B5086B">
        <w:rPr>
          <w:sz w:val="22"/>
        </w:rPr>
        <w:t>In Canada, hedge funds</w:t>
      </w:r>
      <w:r>
        <w:rPr>
          <w:sz w:val="22"/>
        </w:rPr>
        <w:t>/alternative strategies funds</w:t>
      </w:r>
      <w:r w:rsidRPr="00B5086B">
        <w:rPr>
          <w:sz w:val="22"/>
        </w:rPr>
        <w:t xml:space="preserve"> do not constitute a distinct category of </w:t>
      </w:r>
      <w:r>
        <w:rPr>
          <w:sz w:val="22"/>
        </w:rPr>
        <w:t>investment fund</w:t>
      </w:r>
      <w:r w:rsidRPr="00B5086B">
        <w:rPr>
          <w:sz w:val="22"/>
        </w:rPr>
        <w:t xml:space="preserve">. </w:t>
      </w:r>
      <w:r>
        <w:rPr>
          <w:sz w:val="22"/>
        </w:rPr>
        <w:t xml:space="preserve"> </w:t>
      </w:r>
      <w:r w:rsidRPr="00B5086B">
        <w:rPr>
          <w:sz w:val="22"/>
        </w:rPr>
        <w:t xml:space="preserve">We acknowledge that there is no global, agreed-upon definition of hedge funds/alternative strategies funds. </w:t>
      </w:r>
      <w:r>
        <w:rPr>
          <w:sz w:val="22"/>
        </w:rPr>
        <w:t xml:space="preserve"> </w:t>
      </w:r>
      <w:r w:rsidRPr="00B5086B">
        <w:rPr>
          <w:sz w:val="22"/>
        </w:rPr>
        <w:t xml:space="preserve">For purposes of this response, we use the following working definition: pools that use alternative investment strategies not generally available to traditional mutual funds, such as taking </w:t>
      </w:r>
      <w:proofErr w:type="gramStart"/>
      <w:r w:rsidRPr="00B5086B">
        <w:rPr>
          <w:sz w:val="22"/>
        </w:rPr>
        <w:t>both long</w:t>
      </w:r>
      <w:proofErr w:type="gramEnd"/>
      <w:r w:rsidRPr="00B5086B">
        <w:rPr>
          <w:sz w:val="22"/>
        </w:rPr>
        <w:t xml:space="preserve"> and short positions and using arbitrage, leverage, options, futures, bonds and other financial instruments to capitalize on market conditions. </w:t>
      </w:r>
      <w:r w:rsidR="005F19A2">
        <w:rPr>
          <w:sz w:val="22"/>
        </w:rPr>
        <w:t xml:space="preserve"> </w:t>
      </w:r>
      <w:r w:rsidRPr="00B5086B">
        <w:rPr>
          <w:sz w:val="22"/>
        </w:rPr>
        <w:t xml:space="preserve">Operators of hedge funds/alternative strategies funds in Canada are referred to, as is the case for other </w:t>
      </w:r>
      <w:r>
        <w:rPr>
          <w:sz w:val="22"/>
        </w:rPr>
        <w:t>investment funds</w:t>
      </w:r>
      <w:r w:rsidRPr="00B5086B">
        <w:rPr>
          <w:sz w:val="22"/>
        </w:rPr>
        <w:t xml:space="preserve">, as </w:t>
      </w:r>
      <w:r>
        <w:rPr>
          <w:sz w:val="22"/>
        </w:rPr>
        <w:t>IFMs</w:t>
      </w:r>
      <w:r w:rsidRPr="00B5086B">
        <w:rPr>
          <w:sz w:val="22"/>
        </w:rPr>
        <w:t xml:space="preserve">. </w:t>
      </w:r>
    </w:p>
    <w:p w:rsidR="00B5086B" w:rsidRPr="00B5086B" w:rsidRDefault="00B5086B" w:rsidP="00B5086B">
      <w:pPr>
        <w:rPr>
          <w:sz w:val="22"/>
        </w:rPr>
      </w:pPr>
    </w:p>
    <w:p w:rsidR="00B5086B" w:rsidRPr="00B5086B" w:rsidRDefault="00B5086B" w:rsidP="00B5086B">
      <w:pPr>
        <w:rPr>
          <w:sz w:val="22"/>
        </w:rPr>
      </w:pPr>
      <w:r w:rsidRPr="00B5086B">
        <w:rPr>
          <w:sz w:val="22"/>
        </w:rPr>
        <w:t xml:space="preserve">In the majority of cases, hedge funds/alternative strategies funds are distributed in Canada on a prospectus exempt basis, through private placements. </w:t>
      </w:r>
      <w:r w:rsidR="005F19A2">
        <w:rPr>
          <w:sz w:val="22"/>
        </w:rPr>
        <w:t xml:space="preserve"> </w:t>
      </w:r>
      <w:r w:rsidRPr="00B5086B">
        <w:rPr>
          <w:sz w:val="22"/>
        </w:rPr>
        <w:t xml:space="preserve">Most of the prospectus exemptions are set out in NI 45-106. </w:t>
      </w:r>
      <w:r>
        <w:rPr>
          <w:sz w:val="22"/>
        </w:rPr>
        <w:t xml:space="preserve"> </w:t>
      </w:r>
      <w:r w:rsidRPr="00B5086B">
        <w:rPr>
          <w:sz w:val="22"/>
        </w:rPr>
        <w:t xml:space="preserve">A dealer who markets securities of a prospectus-exempt </w:t>
      </w:r>
      <w:r>
        <w:rPr>
          <w:sz w:val="22"/>
        </w:rPr>
        <w:t>hedge fund/alternative strategies fund</w:t>
      </w:r>
      <w:r w:rsidRPr="00B5086B">
        <w:rPr>
          <w:sz w:val="22"/>
        </w:rPr>
        <w:t xml:space="preserve"> under a prospectus exemption must be registered as an exempt market dealer or an investment dealer. </w:t>
      </w:r>
      <w:r>
        <w:rPr>
          <w:sz w:val="22"/>
        </w:rPr>
        <w:t xml:space="preserve"> </w:t>
      </w:r>
      <w:r w:rsidRPr="00B5086B">
        <w:rPr>
          <w:sz w:val="22"/>
        </w:rPr>
        <w:t xml:space="preserve">A prospectus filed under NI 41-101 qualifies the securities for both retail and institutional investors, making the hedge fund/alternative strategies fund a reporting issuer subject to the continuous disclosure requirements provided in </w:t>
      </w:r>
      <w:r w:rsidR="005F19A2">
        <w:rPr>
          <w:sz w:val="22"/>
        </w:rPr>
        <w:t>National Instrument</w:t>
      </w:r>
      <w:r w:rsidR="005F19A2" w:rsidRPr="005F19A2">
        <w:rPr>
          <w:sz w:val="22"/>
        </w:rPr>
        <w:t xml:space="preserve"> 81-106 </w:t>
      </w:r>
      <w:r w:rsidR="005F19A2" w:rsidRPr="005F19A2">
        <w:rPr>
          <w:i/>
          <w:sz w:val="22"/>
        </w:rPr>
        <w:t>Investment Fund Continuous Disclosure</w:t>
      </w:r>
      <w:r w:rsidR="005F19A2" w:rsidRPr="005F19A2">
        <w:rPr>
          <w:sz w:val="22"/>
        </w:rPr>
        <w:t xml:space="preserve"> </w:t>
      </w:r>
      <w:r w:rsidR="005F19A2">
        <w:rPr>
          <w:sz w:val="22"/>
        </w:rPr>
        <w:t>(</w:t>
      </w:r>
      <w:r w:rsidRPr="005F19A2">
        <w:rPr>
          <w:b/>
          <w:sz w:val="22"/>
        </w:rPr>
        <w:t>NI 81-106</w:t>
      </w:r>
      <w:r w:rsidR="005F19A2">
        <w:rPr>
          <w:sz w:val="22"/>
        </w:rPr>
        <w:t>)</w:t>
      </w:r>
      <w:r w:rsidRPr="00B5086B">
        <w:rPr>
          <w:sz w:val="22"/>
        </w:rPr>
        <w:t xml:space="preserve"> and to the requirements of </w:t>
      </w:r>
      <w:r w:rsidR="005F19A2" w:rsidRPr="005F19A2">
        <w:rPr>
          <w:sz w:val="22"/>
        </w:rPr>
        <w:t xml:space="preserve">NI 81-107 </w:t>
      </w:r>
      <w:r w:rsidR="005F19A2" w:rsidRPr="005F19A2">
        <w:rPr>
          <w:i/>
          <w:sz w:val="22"/>
        </w:rPr>
        <w:t>Independent Review Committee for Investment Funds</w:t>
      </w:r>
      <w:r w:rsidR="005F19A2" w:rsidRPr="005F19A2">
        <w:rPr>
          <w:sz w:val="22"/>
        </w:rPr>
        <w:t xml:space="preserve"> </w:t>
      </w:r>
      <w:r w:rsidR="005F19A2">
        <w:rPr>
          <w:sz w:val="22"/>
        </w:rPr>
        <w:t>(</w:t>
      </w:r>
      <w:r w:rsidRPr="005F19A2">
        <w:rPr>
          <w:b/>
          <w:sz w:val="22"/>
        </w:rPr>
        <w:t>NI 81-107</w:t>
      </w:r>
      <w:r w:rsidR="005F19A2">
        <w:rPr>
          <w:sz w:val="22"/>
        </w:rPr>
        <w:t>)</w:t>
      </w:r>
      <w:r w:rsidRPr="00B5086B">
        <w:rPr>
          <w:sz w:val="22"/>
        </w:rPr>
        <w:t>, which regulate conflicts of interests and provides operational requirements, including that of having a custodian.</w:t>
      </w:r>
    </w:p>
    <w:p w:rsidR="00B5086B" w:rsidRDefault="00B5086B">
      <w:pPr>
        <w:rPr>
          <w:sz w:val="22"/>
        </w:rPr>
      </w:pPr>
    </w:p>
    <w:p w:rsidR="005A3A53" w:rsidRDefault="005A3A53">
      <w:pPr>
        <w:rPr>
          <w:sz w:val="22"/>
        </w:rPr>
      </w:pPr>
    </w:p>
    <w:p w:rsidR="00987B7D" w:rsidRPr="00987B7D" w:rsidRDefault="00987B7D">
      <w:pPr>
        <w:rPr>
          <w:b/>
          <w:sz w:val="22"/>
        </w:rPr>
      </w:pPr>
      <w:r w:rsidRPr="00987B7D">
        <w:rPr>
          <w:b/>
          <w:sz w:val="22"/>
        </w:rPr>
        <w:t>REGISTRATION REQUIREMENTS</w:t>
      </w:r>
    </w:p>
    <w:p w:rsidR="00C3750D" w:rsidRDefault="005F19A2" w:rsidP="00D84797">
      <w:pPr>
        <w:rPr>
          <w:sz w:val="22"/>
        </w:rPr>
      </w:pPr>
      <w:r w:rsidRPr="005F19A2">
        <w:rPr>
          <w:sz w:val="22"/>
        </w:rPr>
        <w:t>The operation of a</w:t>
      </w:r>
      <w:r>
        <w:rPr>
          <w:sz w:val="22"/>
        </w:rPr>
        <w:t>n investment</w:t>
      </w:r>
      <w:r w:rsidRPr="005F19A2">
        <w:rPr>
          <w:sz w:val="22"/>
        </w:rPr>
        <w:t xml:space="preserve"> fund typically involves several entities, many of which are required to register under NI 31-103. </w:t>
      </w:r>
      <w:r w:rsidR="003B1D15">
        <w:rPr>
          <w:sz w:val="22"/>
        </w:rPr>
        <w:t xml:space="preserve"> </w:t>
      </w:r>
      <w:r w:rsidRPr="005F19A2">
        <w:rPr>
          <w:sz w:val="22"/>
        </w:rPr>
        <w:t>IFMs, advisers that provide portfolio advice to a</w:t>
      </w:r>
      <w:r>
        <w:rPr>
          <w:sz w:val="22"/>
        </w:rPr>
        <w:t>n</w:t>
      </w:r>
      <w:r w:rsidRPr="005F19A2">
        <w:rPr>
          <w:sz w:val="22"/>
        </w:rPr>
        <w:t xml:space="preserve"> </w:t>
      </w:r>
      <w:r>
        <w:rPr>
          <w:sz w:val="22"/>
        </w:rPr>
        <w:t>investment</w:t>
      </w:r>
      <w:r w:rsidRPr="005F19A2">
        <w:rPr>
          <w:sz w:val="22"/>
        </w:rPr>
        <w:t xml:space="preserve"> fund</w:t>
      </w:r>
      <w:r w:rsidR="003B1D15">
        <w:rPr>
          <w:sz w:val="22"/>
        </w:rPr>
        <w:t>,</w:t>
      </w:r>
      <w:r w:rsidRPr="005F19A2">
        <w:rPr>
          <w:sz w:val="22"/>
        </w:rPr>
        <w:t xml:space="preserve"> and dealers that market or sell its securities must be registered and are subject to the regulatory requirements in NI 31-103.</w:t>
      </w:r>
    </w:p>
    <w:p w:rsidR="00C3750D" w:rsidRDefault="00C3750D" w:rsidP="00D84797">
      <w:pPr>
        <w:rPr>
          <w:sz w:val="22"/>
        </w:rPr>
      </w:pPr>
    </w:p>
    <w:p w:rsidR="00D84797" w:rsidRPr="00D84797" w:rsidRDefault="00D84797" w:rsidP="00D84797">
      <w:pPr>
        <w:rPr>
          <w:sz w:val="22"/>
        </w:rPr>
      </w:pPr>
      <w:r w:rsidRPr="00D84797">
        <w:rPr>
          <w:sz w:val="22"/>
        </w:rPr>
        <w:t>Further, each jurisdiction has comparable legislation which imposes a requirement on dealers and advisers to deal fairly, honestly and in good faith with clients.  For IFMs, a standard of care is prescribed in the legislation of each jurisdiction</w:t>
      </w:r>
      <w:r>
        <w:rPr>
          <w:sz w:val="22"/>
        </w:rPr>
        <w:t>.</w:t>
      </w:r>
      <w:r w:rsidRPr="00D84797">
        <w:rPr>
          <w:sz w:val="22"/>
        </w:rPr>
        <w:t xml:space="preserve"> </w:t>
      </w:r>
    </w:p>
    <w:p w:rsidR="00D84797" w:rsidRPr="00D84797" w:rsidRDefault="00D84797" w:rsidP="00D84797">
      <w:pPr>
        <w:rPr>
          <w:sz w:val="22"/>
        </w:rPr>
      </w:pPr>
    </w:p>
    <w:p w:rsidR="00D84797" w:rsidRPr="00D84797" w:rsidRDefault="00D84797" w:rsidP="00D84797">
      <w:pPr>
        <w:rPr>
          <w:sz w:val="22"/>
        </w:rPr>
      </w:pPr>
      <w:r w:rsidRPr="00D84797">
        <w:rPr>
          <w:sz w:val="22"/>
        </w:rPr>
        <w:t xml:space="preserve">An IFM, in exercising its powers and discharging its duties related to the management of the investment fund, must: </w:t>
      </w:r>
    </w:p>
    <w:p w:rsidR="00D84797" w:rsidRPr="00D84797" w:rsidRDefault="00D84797" w:rsidP="00D84797">
      <w:pPr>
        <w:numPr>
          <w:ilvl w:val="0"/>
          <w:numId w:val="31"/>
        </w:numPr>
        <w:rPr>
          <w:sz w:val="22"/>
        </w:rPr>
      </w:pPr>
      <w:r w:rsidRPr="00D84797">
        <w:rPr>
          <w:sz w:val="22"/>
        </w:rPr>
        <w:lastRenderedPageBreak/>
        <w:t>act honestly, in good faith and in the best interests of the investment fund and</w:t>
      </w:r>
    </w:p>
    <w:p w:rsidR="00D84797" w:rsidRPr="00D84797" w:rsidRDefault="00D84797" w:rsidP="00D84797">
      <w:pPr>
        <w:numPr>
          <w:ilvl w:val="0"/>
          <w:numId w:val="31"/>
        </w:numPr>
        <w:rPr>
          <w:sz w:val="22"/>
        </w:rPr>
      </w:pPr>
      <w:proofErr w:type="gramStart"/>
      <w:r w:rsidRPr="00D84797">
        <w:rPr>
          <w:sz w:val="22"/>
        </w:rPr>
        <w:t>exercise</w:t>
      </w:r>
      <w:proofErr w:type="gramEnd"/>
      <w:r w:rsidRPr="00D84797">
        <w:rPr>
          <w:sz w:val="22"/>
        </w:rPr>
        <w:t xml:space="preserve"> the degree of care, diligence and skill that a reasonably prudent person would exercise in the circumstances.</w:t>
      </w:r>
    </w:p>
    <w:p w:rsidR="005F19A2" w:rsidRDefault="005F19A2" w:rsidP="005F19A2">
      <w:pPr>
        <w:rPr>
          <w:sz w:val="22"/>
        </w:rPr>
      </w:pPr>
    </w:p>
    <w:p w:rsidR="003B1D15" w:rsidRPr="00B5086B" w:rsidRDefault="003B1D15" w:rsidP="003B1D15">
      <w:pPr>
        <w:rPr>
          <w:sz w:val="22"/>
        </w:rPr>
      </w:pPr>
      <w:r w:rsidRPr="00B5086B">
        <w:rPr>
          <w:sz w:val="22"/>
        </w:rPr>
        <w:t>Individuals and firms must apply for registration and demonstrate that they have met the minimum entry standards (“fit and proper” requirements) for registration in the applicable category. These standards include:</w:t>
      </w:r>
    </w:p>
    <w:p w:rsidR="003B1D15" w:rsidRPr="00B5086B" w:rsidRDefault="003B1D15" w:rsidP="003B1D15">
      <w:pPr>
        <w:numPr>
          <w:ilvl w:val="0"/>
          <w:numId w:val="30"/>
        </w:numPr>
        <w:rPr>
          <w:sz w:val="22"/>
        </w:rPr>
      </w:pPr>
      <w:r w:rsidRPr="00B5086B">
        <w:rPr>
          <w:sz w:val="22"/>
        </w:rPr>
        <w:t>proficiency, integrity and solvency requirements to ensure that only qualified individuals can deal in securities or manage investment funds</w:t>
      </w:r>
    </w:p>
    <w:p w:rsidR="003B1D15" w:rsidRPr="00B5086B" w:rsidRDefault="003B1D15" w:rsidP="003B1D15">
      <w:pPr>
        <w:numPr>
          <w:ilvl w:val="0"/>
          <w:numId w:val="30"/>
        </w:numPr>
        <w:rPr>
          <w:sz w:val="22"/>
        </w:rPr>
      </w:pPr>
      <w:r w:rsidRPr="00B5086B">
        <w:rPr>
          <w:sz w:val="22"/>
        </w:rPr>
        <w:t>solvency requirements to ensure that registered firms are financially viable, and</w:t>
      </w:r>
    </w:p>
    <w:p w:rsidR="003B1D15" w:rsidRPr="00B5086B" w:rsidRDefault="003B1D15" w:rsidP="003B1D15">
      <w:pPr>
        <w:numPr>
          <w:ilvl w:val="0"/>
          <w:numId w:val="30"/>
        </w:numPr>
        <w:rPr>
          <w:sz w:val="22"/>
        </w:rPr>
      </w:pPr>
      <w:proofErr w:type="gramStart"/>
      <w:r w:rsidRPr="00B5086B">
        <w:rPr>
          <w:sz w:val="22"/>
        </w:rPr>
        <w:t>business</w:t>
      </w:r>
      <w:proofErr w:type="gramEnd"/>
      <w:r w:rsidRPr="00B5086B">
        <w:rPr>
          <w:sz w:val="22"/>
        </w:rPr>
        <w:t xml:space="preserve"> operational standards which include having adequate written policies and procedures and the designation of a</w:t>
      </w:r>
      <w:r>
        <w:rPr>
          <w:sz w:val="22"/>
        </w:rPr>
        <w:t>n</w:t>
      </w:r>
      <w:r w:rsidRPr="00B5086B">
        <w:rPr>
          <w:sz w:val="22"/>
        </w:rPr>
        <w:t xml:space="preserve"> </w:t>
      </w:r>
      <w:r w:rsidRPr="003B1D15">
        <w:rPr>
          <w:sz w:val="22"/>
        </w:rPr>
        <w:t>Ultimate Designated Person (</w:t>
      </w:r>
      <w:r w:rsidRPr="003B1D15">
        <w:rPr>
          <w:b/>
          <w:sz w:val="22"/>
        </w:rPr>
        <w:t>UDP</w:t>
      </w:r>
      <w:r w:rsidRPr="003B1D15">
        <w:rPr>
          <w:sz w:val="22"/>
        </w:rPr>
        <w:t xml:space="preserve">) and </w:t>
      </w:r>
      <w:r>
        <w:rPr>
          <w:sz w:val="22"/>
        </w:rPr>
        <w:t xml:space="preserve">a </w:t>
      </w:r>
      <w:r w:rsidRPr="003B1D15">
        <w:rPr>
          <w:sz w:val="22"/>
        </w:rPr>
        <w:t>Chief Compliance Officer (</w:t>
      </w:r>
      <w:r w:rsidRPr="003B1D15">
        <w:rPr>
          <w:b/>
          <w:sz w:val="22"/>
        </w:rPr>
        <w:t>CCO</w:t>
      </w:r>
      <w:r w:rsidRPr="003B1D15">
        <w:rPr>
          <w:sz w:val="22"/>
        </w:rPr>
        <w:t>)</w:t>
      </w:r>
      <w:r w:rsidRPr="00B5086B">
        <w:rPr>
          <w:sz w:val="22"/>
        </w:rPr>
        <w:t>.</w:t>
      </w:r>
    </w:p>
    <w:p w:rsidR="003B1D15" w:rsidRDefault="003B1D15" w:rsidP="003B1D15">
      <w:pPr>
        <w:rPr>
          <w:sz w:val="22"/>
        </w:rPr>
      </w:pPr>
    </w:p>
    <w:p w:rsidR="00416840" w:rsidRPr="00361D6B" w:rsidRDefault="00416840" w:rsidP="003B1D15">
      <w:pPr>
        <w:rPr>
          <w:b/>
          <w:sz w:val="22"/>
        </w:rPr>
      </w:pPr>
      <w:r w:rsidRPr="00361D6B">
        <w:rPr>
          <w:b/>
          <w:sz w:val="22"/>
        </w:rPr>
        <w:t>Firms</w:t>
      </w:r>
    </w:p>
    <w:p w:rsidR="005F19A2" w:rsidRPr="005F19A2" w:rsidRDefault="005F19A2" w:rsidP="005F19A2">
      <w:pPr>
        <w:rPr>
          <w:sz w:val="22"/>
        </w:rPr>
      </w:pPr>
      <w:r w:rsidRPr="005F19A2">
        <w:rPr>
          <w:sz w:val="22"/>
        </w:rPr>
        <w:t>The entities involved in the operation of an investment fund, and their registration regime as the case may be, are as follows:</w:t>
      </w:r>
    </w:p>
    <w:p w:rsidR="005F19A2" w:rsidRPr="005F19A2" w:rsidRDefault="005F19A2" w:rsidP="005F19A2">
      <w:pPr>
        <w:rPr>
          <w:sz w:val="22"/>
        </w:rPr>
      </w:pPr>
    </w:p>
    <w:p w:rsidR="005F19A2" w:rsidRDefault="005F19A2" w:rsidP="00361D6B">
      <w:pPr>
        <w:ind w:left="720"/>
        <w:rPr>
          <w:b/>
          <w:i/>
          <w:sz w:val="22"/>
        </w:rPr>
      </w:pPr>
      <w:r w:rsidRPr="005F19A2">
        <w:rPr>
          <w:i/>
          <w:sz w:val="22"/>
        </w:rPr>
        <w:t>IFMs</w:t>
      </w:r>
      <w:r w:rsidRPr="005F19A2">
        <w:rPr>
          <w:sz w:val="22"/>
        </w:rPr>
        <w:t>: they direct the business, operations or affairs of a</w:t>
      </w:r>
      <w:r>
        <w:rPr>
          <w:sz w:val="22"/>
        </w:rPr>
        <w:t>n</w:t>
      </w:r>
      <w:r w:rsidRPr="005F19A2">
        <w:rPr>
          <w:sz w:val="22"/>
        </w:rPr>
        <w:t xml:space="preserve"> </w:t>
      </w:r>
      <w:r>
        <w:rPr>
          <w:sz w:val="22"/>
        </w:rPr>
        <w:t>investment fund</w:t>
      </w:r>
      <w:r w:rsidRPr="005F19A2">
        <w:rPr>
          <w:sz w:val="22"/>
        </w:rPr>
        <w:t xml:space="preserve">, irrespective of the type of investment fund. The IFM category is designed to ensure, among other things, that IFMs have the resources to carry out their functions, or to properly supervise the functions if they are contracted to a third party, to manage their conflicts of interest and have adequate capital and insurance to provide protection for investors and minimize the risk of loss and disruption to them. </w:t>
      </w:r>
      <w:r w:rsidR="00D84797">
        <w:rPr>
          <w:sz w:val="22"/>
        </w:rPr>
        <w:t xml:space="preserve"> </w:t>
      </w:r>
    </w:p>
    <w:p w:rsidR="00D84797" w:rsidRPr="005F19A2" w:rsidRDefault="00D84797" w:rsidP="00361D6B">
      <w:pPr>
        <w:ind w:left="720"/>
        <w:rPr>
          <w:b/>
          <w:i/>
          <w:sz w:val="22"/>
        </w:rPr>
      </w:pPr>
    </w:p>
    <w:p w:rsidR="005F19A2" w:rsidRPr="005F19A2" w:rsidRDefault="005F19A2" w:rsidP="005F19A2">
      <w:pPr>
        <w:numPr>
          <w:ilvl w:val="0"/>
          <w:numId w:val="32"/>
        </w:numPr>
        <w:rPr>
          <w:sz w:val="22"/>
        </w:rPr>
      </w:pPr>
      <w:r w:rsidRPr="005F19A2">
        <w:rPr>
          <w:i/>
          <w:sz w:val="22"/>
        </w:rPr>
        <w:t>Advisers</w:t>
      </w:r>
      <w:r w:rsidRPr="005F19A2">
        <w:rPr>
          <w:sz w:val="22"/>
        </w:rPr>
        <w:t xml:space="preserve">: they advise the IFM on the management of the </w:t>
      </w:r>
      <w:r>
        <w:rPr>
          <w:sz w:val="22"/>
        </w:rPr>
        <w:t>investment</w:t>
      </w:r>
      <w:r w:rsidRPr="005F19A2">
        <w:rPr>
          <w:sz w:val="22"/>
        </w:rPr>
        <w:t xml:space="preserve"> fund’s investment portfolio and are required under securities legislation to register. The registration category for these activities specified in NI 31-103 is the portfolio manager </w:t>
      </w:r>
      <w:r>
        <w:rPr>
          <w:sz w:val="22"/>
        </w:rPr>
        <w:t>(</w:t>
      </w:r>
      <w:r w:rsidRPr="005F19A2">
        <w:rPr>
          <w:b/>
          <w:sz w:val="22"/>
        </w:rPr>
        <w:t>PM</w:t>
      </w:r>
      <w:r>
        <w:rPr>
          <w:sz w:val="22"/>
        </w:rPr>
        <w:t xml:space="preserve">) </w:t>
      </w:r>
      <w:r w:rsidRPr="005F19A2">
        <w:rPr>
          <w:sz w:val="22"/>
        </w:rPr>
        <w:t xml:space="preserve">category. NI 31-103 provides an exemption from the requirement to register as an adviser for registered dealers that are members of </w:t>
      </w:r>
      <w:r w:rsidR="00205309">
        <w:rPr>
          <w:sz w:val="22"/>
        </w:rPr>
        <w:t>t</w:t>
      </w:r>
      <w:r w:rsidR="00205309" w:rsidRPr="00205309">
        <w:rPr>
          <w:sz w:val="22"/>
        </w:rPr>
        <w:t>he Investment Industry Regulatory Organization of Canada</w:t>
      </w:r>
      <w:r w:rsidR="00205309" w:rsidRPr="00361D6B">
        <w:rPr>
          <w:rStyle w:val="FootnoteReference"/>
          <w:sz w:val="22"/>
        </w:rPr>
        <w:footnoteReference w:id="1"/>
      </w:r>
      <w:r w:rsidR="00205309" w:rsidRPr="00205309">
        <w:rPr>
          <w:sz w:val="22"/>
        </w:rPr>
        <w:t xml:space="preserve"> </w:t>
      </w:r>
      <w:r w:rsidR="00205309">
        <w:rPr>
          <w:sz w:val="22"/>
        </w:rPr>
        <w:t>(</w:t>
      </w:r>
      <w:r w:rsidRPr="00361D6B">
        <w:rPr>
          <w:b/>
          <w:sz w:val="22"/>
        </w:rPr>
        <w:t>IIROC</w:t>
      </w:r>
      <w:r w:rsidR="00205309" w:rsidRPr="00361D6B">
        <w:rPr>
          <w:sz w:val="22"/>
        </w:rPr>
        <w:t>)</w:t>
      </w:r>
      <w:r w:rsidRPr="005F19A2">
        <w:rPr>
          <w:sz w:val="22"/>
        </w:rPr>
        <w:t xml:space="preserve">, when these IIROC member acts as an adviser in respect of a client’s managed account. This exemption is available for all managed accounts, including where the client is a pooled fund or investment fund. In practice, this means that IIROC dealers do not also have to register in the </w:t>
      </w:r>
      <w:r w:rsidRPr="005F19A2">
        <w:rPr>
          <w:sz w:val="22"/>
        </w:rPr>
        <w:lastRenderedPageBreak/>
        <w:t xml:space="preserve">portfolio manager category when they advise </w:t>
      </w:r>
      <w:r>
        <w:rPr>
          <w:sz w:val="22"/>
        </w:rPr>
        <w:t>investment</w:t>
      </w:r>
      <w:r w:rsidRPr="005F19A2">
        <w:rPr>
          <w:sz w:val="22"/>
        </w:rPr>
        <w:t xml:space="preserve"> funds. IIROC oversees these activities, to which the IIROC rules apply.</w:t>
      </w:r>
    </w:p>
    <w:p w:rsidR="005F19A2" w:rsidRPr="005F19A2" w:rsidRDefault="005F19A2" w:rsidP="005F19A2">
      <w:pPr>
        <w:rPr>
          <w:sz w:val="22"/>
        </w:rPr>
      </w:pPr>
    </w:p>
    <w:p w:rsidR="005F19A2" w:rsidRDefault="005F19A2" w:rsidP="005F19A2">
      <w:pPr>
        <w:numPr>
          <w:ilvl w:val="0"/>
          <w:numId w:val="32"/>
        </w:numPr>
        <w:rPr>
          <w:sz w:val="22"/>
        </w:rPr>
      </w:pPr>
      <w:r w:rsidRPr="005F19A2">
        <w:rPr>
          <w:i/>
          <w:sz w:val="22"/>
        </w:rPr>
        <w:t xml:space="preserve">Dealers marketing or selling </w:t>
      </w:r>
      <w:r>
        <w:rPr>
          <w:i/>
          <w:sz w:val="22"/>
        </w:rPr>
        <w:t>investment</w:t>
      </w:r>
      <w:r w:rsidRPr="005F19A2">
        <w:rPr>
          <w:i/>
          <w:sz w:val="22"/>
        </w:rPr>
        <w:t xml:space="preserve"> fund securities</w:t>
      </w:r>
      <w:r w:rsidRPr="005F19A2">
        <w:rPr>
          <w:sz w:val="22"/>
        </w:rPr>
        <w:t>: A person that markets or sells securities of a</w:t>
      </w:r>
      <w:r>
        <w:rPr>
          <w:sz w:val="22"/>
        </w:rPr>
        <w:t>n</w:t>
      </w:r>
      <w:r w:rsidRPr="005F19A2">
        <w:rPr>
          <w:sz w:val="22"/>
        </w:rPr>
        <w:t xml:space="preserve"> </w:t>
      </w:r>
      <w:r>
        <w:rPr>
          <w:sz w:val="22"/>
        </w:rPr>
        <w:t>investment</w:t>
      </w:r>
      <w:r w:rsidRPr="005F19A2">
        <w:rPr>
          <w:sz w:val="22"/>
        </w:rPr>
        <w:t xml:space="preserve"> fund is required by securities legislation to register as a dealer. The registration categories for these activities specified in NI 31-103 are investment dealer, mutual fund dealer or exempt market dealer, depending on the type of security sold or the method by which it is distributed.</w:t>
      </w:r>
      <w:r w:rsidR="00D84797">
        <w:rPr>
          <w:sz w:val="22"/>
        </w:rPr>
        <w:t xml:space="preserve">  </w:t>
      </w:r>
    </w:p>
    <w:p w:rsidR="006A0EBE" w:rsidRDefault="006A0EBE" w:rsidP="00361D6B">
      <w:pPr>
        <w:pStyle w:val="ListParagraph"/>
        <w:rPr>
          <w:sz w:val="22"/>
        </w:rPr>
      </w:pPr>
    </w:p>
    <w:p w:rsidR="006A0EBE" w:rsidRPr="006A0EBE" w:rsidRDefault="006A0EBE" w:rsidP="00361D6B">
      <w:pPr>
        <w:pStyle w:val="ListParagraph"/>
        <w:numPr>
          <w:ilvl w:val="1"/>
          <w:numId w:val="33"/>
        </w:numPr>
        <w:rPr>
          <w:sz w:val="22"/>
        </w:rPr>
      </w:pPr>
      <w:r w:rsidRPr="006A0EBE">
        <w:rPr>
          <w:sz w:val="22"/>
        </w:rPr>
        <w:t xml:space="preserve">A dealer who markets securities of conventional </w:t>
      </w:r>
      <w:r>
        <w:rPr>
          <w:sz w:val="22"/>
        </w:rPr>
        <w:t>investment funds</w:t>
      </w:r>
      <w:r w:rsidRPr="006A0EBE">
        <w:rPr>
          <w:sz w:val="22"/>
        </w:rPr>
        <w:t xml:space="preserve"> must also be a member of the Mutual Fund Dealers Association of Canada</w:t>
      </w:r>
      <w:r w:rsidR="00C45544">
        <w:rPr>
          <w:rStyle w:val="FootnoteReference"/>
          <w:sz w:val="22"/>
        </w:rPr>
        <w:footnoteReference w:id="2"/>
      </w:r>
      <w:r w:rsidRPr="006A0EBE">
        <w:rPr>
          <w:sz w:val="22"/>
        </w:rPr>
        <w:t xml:space="preserve"> (</w:t>
      </w:r>
      <w:r w:rsidRPr="00361D6B">
        <w:rPr>
          <w:b/>
          <w:bCs/>
          <w:sz w:val="22"/>
        </w:rPr>
        <w:t>MFDA</w:t>
      </w:r>
      <w:r w:rsidRPr="006A0EBE">
        <w:rPr>
          <w:sz w:val="22"/>
        </w:rPr>
        <w:t>) except in Québec</w:t>
      </w:r>
      <w:r w:rsidR="0003362D">
        <w:rPr>
          <w:sz w:val="22"/>
        </w:rPr>
        <w:t xml:space="preserve"> or IIROC</w:t>
      </w:r>
      <w:r w:rsidRPr="006A0EBE">
        <w:rPr>
          <w:sz w:val="22"/>
        </w:rPr>
        <w:t xml:space="preserve">. </w:t>
      </w:r>
    </w:p>
    <w:p w:rsidR="006A0EBE" w:rsidRPr="006A0EBE" w:rsidRDefault="006A0EBE" w:rsidP="00361D6B">
      <w:pPr>
        <w:pStyle w:val="ListParagraph"/>
        <w:numPr>
          <w:ilvl w:val="1"/>
          <w:numId w:val="33"/>
        </w:numPr>
        <w:rPr>
          <w:sz w:val="22"/>
        </w:rPr>
      </w:pPr>
      <w:r w:rsidRPr="006A0EBE">
        <w:rPr>
          <w:sz w:val="22"/>
        </w:rPr>
        <w:t xml:space="preserve">A dealer who markets securities of non-conventional investment funds must also be an IIROC member. </w:t>
      </w:r>
    </w:p>
    <w:p w:rsidR="006A0EBE" w:rsidRDefault="006A0EBE" w:rsidP="00361D6B">
      <w:pPr>
        <w:pStyle w:val="ListParagraph"/>
        <w:numPr>
          <w:ilvl w:val="1"/>
          <w:numId w:val="33"/>
        </w:numPr>
        <w:rPr>
          <w:sz w:val="22"/>
        </w:rPr>
      </w:pPr>
      <w:r w:rsidRPr="006A0EBE">
        <w:rPr>
          <w:sz w:val="22"/>
        </w:rPr>
        <w:t xml:space="preserve">A dealer who markets securities of prospectus-exempt investment funds to investors under a prospectus exemption must be registered as an exempt market dealer </w:t>
      </w:r>
      <w:r w:rsidR="00B76417">
        <w:rPr>
          <w:sz w:val="22"/>
        </w:rPr>
        <w:t>(</w:t>
      </w:r>
      <w:r w:rsidR="00B76417" w:rsidRPr="00361D6B">
        <w:rPr>
          <w:b/>
          <w:sz w:val="22"/>
        </w:rPr>
        <w:t>EMD</w:t>
      </w:r>
      <w:r w:rsidR="00B76417">
        <w:rPr>
          <w:sz w:val="22"/>
        </w:rPr>
        <w:t xml:space="preserve">) </w:t>
      </w:r>
      <w:r w:rsidRPr="006A0EBE">
        <w:rPr>
          <w:sz w:val="22"/>
        </w:rPr>
        <w:t xml:space="preserve">or an IIROC dealer member. </w:t>
      </w:r>
    </w:p>
    <w:p w:rsidR="006A0EBE" w:rsidRDefault="006A0EBE" w:rsidP="00361D6B">
      <w:pPr>
        <w:rPr>
          <w:sz w:val="22"/>
        </w:rPr>
      </w:pPr>
    </w:p>
    <w:p w:rsidR="006A0EBE" w:rsidRPr="00361D6B" w:rsidRDefault="006A0EBE" w:rsidP="00361D6B">
      <w:pPr>
        <w:ind w:left="720"/>
        <w:rPr>
          <w:sz w:val="22"/>
        </w:rPr>
      </w:pPr>
      <w:r w:rsidRPr="00361D6B">
        <w:rPr>
          <w:sz w:val="22"/>
        </w:rPr>
        <w:t xml:space="preserve">Certain requirements in NI 31-103 do not apply to members of the SROs and their registered individuals where the applicable SRO has rules that adequately cover the same regulatory risks as those contained in NI 31-103. </w:t>
      </w:r>
    </w:p>
    <w:p w:rsidR="006A0EBE" w:rsidRDefault="006A0EBE" w:rsidP="00361D6B">
      <w:pPr>
        <w:rPr>
          <w:sz w:val="22"/>
        </w:rPr>
      </w:pPr>
    </w:p>
    <w:p w:rsidR="00416840" w:rsidRPr="00361D6B" w:rsidRDefault="00416840" w:rsidP="00361D6B">
      <w:pPr>
        <w:rPr>
          <w:b/>
          <w:sz w:val="22"/>
        </w:rPr>
      </w:pPr>
      <w:r w:rsidRPr="00361D6B">
        <w:rPr>
          <w:b/>
          <w:sz w:val="22"/>
        </w:rPr>
        <w:t>Individuals</w:t>
      </w:r>
    </w:p>
    <w:p w:rsidR="00416840" w:rsidRDefault="00416840" w:rsidP="00416840">
      <w:pPr>
        <w:rPr>
          <w:sz w:val="22"/>
        </w:rPr>
      </w:pPr>
      <w:r>
        <w:rPr>
          <w:sz w:val="22"/>
        </w:rPr>
        <w:t>I</w:t>
      </w:r>
      <w:r w:rsidRPr="0070235C">
        <w:rPr>
          <w:sz w:val="22"/>
        </w:rPr>
        <w:t xml:space="preserve">ndividuals carrying out activities on behalf of a registered dealer or adviser are required to register as dealing and advising representatives, respectively. </w:t>
      </w:r>
      <w:r w:rsidR="00C3750D">
        <w:rPr>
          <w:sz w:val="22"/>
        </w:rPr>
        <w:t xml:space="preserve"> </w:t>
      </w:r>
      <w:r>
        <w:rPr>
          <w:sz w:val="22"/>
        </w:rPr>
        <w:t>Further,</w:t>
      </w:r>
      <w:r w:rsidRPr="0070235C">
        <w:rPr>
          <w:sz w:val="22"/>
        </w:rPr>
        <w:t xml:space="preserve"> the individuals that set the tone for compliance in the firm</w:t>
      </w:r>
      <w:r w:rsidR="00B10974">
        <w:rPr>
          <w:sz w:val="22"/>
        </w:rPr>
        <w:t xml:space="preserve"> (dealer, adviser and IFM)</w:t>
      </w:r>
      <w:r w:rsidRPr="0070235C">
        <w:rPr>
          <w:sz w:val="22"/>
        </w:rPr>
        <w:t>, and who enforce and implement that compliance, are required to register as Ultimate Designated Person (</w:t>
      </w:r>
      <w:r w:rsidRPr="0070235C">
        <w:rPr>
          <w:b/>
          <w:sz w:val="22"/>
        </w:rPr>
        <w:t>UDP</w:t>
      </w:r>
      <w:r w:rsidRPr="0070235C">
        <w:rPr>
          <w:sz w:val="22"/>
        </w:rPr>
        <w:t>) and Chief Compliance Officer (</w:t>
      </w:r>
      <w:r w:rsidRPr="0070235C">
        <w:rPr>
          <w:b/>
          <w:sz w:val="22"/>
        </w:rPr>
        <w:t>CCO</w:t>
      </w:r>
      <w:r w:rsidRPr="0070235C">
        <w:rPr>
          <w:sz w:val="22"/>
        </w:rPr>
        <w:t>), respectively.</w:t>
      </w:r>
    </w:p>
    <w:p w:rsidR="00416840" w:rsidRDefault="00416840" w:rsidP="00416840">
      <w:pPr>
        <w:rPr>
          <w:sz w:val="22"/>
        </w:rPr>
      </w:pPr>
    </w:p>
    <w:p w:rsidR="00416840" w:rsidRPr="00416840" w:rsidRDefault="00416840" w:rsidP="00416840">
      <w:pPr>
        <w:rPr>
          <w:sz w:val="22"/>
        </w:rPr>
      </w:pPr>
      <w:r w:rsidRPr="00416840">
        <w:rPr>
          <w:sz w:val="22"/>
        </w:rPr>
        <w:t xml:space="preserve">To ensure that the responsibility for the compliance system of </w:t>
      </w:r>
      <w:r>
        <w:rPr>
          <w:sz w:val="22"/>
        </w:rPr>
        <w:t xml:space="preserve">a registered firm </w:t>
      </w:r>
      <w:r w:rsidRPr="00416840">
        <w:rPr>
          <w:sz w:val="22"/>
        </w:rPr>
        <w:t>rests at the very top of the firm, the individual designated as the UDP must be one of the following:</w:t>
      </w:r>
    </w:p>
    <w:p w:rsidR="00416840" w:rsidRPr="00416840" w:rsidRDefault="00416840" w:rsidP="00416840">
      <w:pPr>
        <w:numPr>
          <w:ilvl w:val="0"/>
          <w:numId w:val="35"/>
        </w:numPr>
        <w:rPr>
          <w:sz w:val="22"/>
        </w:rPr>
      </w:pPr>
      <w:r w:rsidRPr="00416840">
        <w:rPr>
          <w:sz w:val="22"/>
        </w:rPr>
        <w:t>the CEO of the registered firm, or if the firm does not have a CEO, an individual acting in a similar capacity who is the most senior decision maker of the firm</w:t>
      </w:r>
    </w:p>
    <w:p w:rsidR="00416840" w:rsidRPr="00416840" w:rsidRDefault="00416840" w:rsidP="00416840">
      <w:pPr>
        <w:numPr>
          <w:ilvl w:val="0"/>
          <w:numId w:val="35"/>
        </w:numPr>
        <w:rPr>
          <w:sz w:val="22"/>
        </w:rPr>
      </w:pPr>
      <w:r w:rsidRPr="00416840">
        <w:rPr>
          <w:sz w:val="22"/>
        </w:rPr>
        <w:t>the sole proprietor of the registered firm, or</w:t>
      </w:r>
    </w:p>
    <w:p w:rsidR="00416840" w:rsidRPr="00416840" w:rsidRDefault="00416840" w:rsidP="00416840">
      <w:pPr>
        <w:numPr>
          <w:ilvl w:val="0"/>
          <w:numId w:val="35"/>
        </w:numPr>
        <w:rPr>
          <w:sz w:val="22"/>
        </w:rPr>
      </w:pPr>
      <w:proofErr w:type="gramStart"/>
      <w:r w:rsidRPr="00416840">
        <w:rPr>
          <w:sz w:val="22"/>
        </w:rPr>
        <w:lastRenderedPageBreak/>
        <w:t>the</w:t>
      </w:r>
      <w:proofErr w:type="gramEnd"/>
      <w:r w:rsidRPr="00416840">
        <w:rPr>
          <w:sz w:val="22"/>
        </w:rPr>
        <w:t xml:space="preserve"> officer in charge of a division of the registered firm, if the activity that requires the firm to register occurs only within the division and the firm has significant other business activities.</w:t>
      </w:r>
    </w:p>
    <w:p w:rsidR="00416840" w:rsidRPr="00416840" w:rsidRDefault="00416840" w:rsidP="00416840">
      <w:pPr>
        <w:rPr>
          <w:sz w:val="22"/>
        </w:rPr>
      </w:pPr>
    </w:p>
    <w:p w:rsidR="00416840" w:rsidRPr="00416840" w:rsidRDefault="00416840" w:rsidP="00416840">
      <w:pPr>
        <w:rPr>
          <w:sz w:val="22"/>
        </w:rPr>
      </w:pPr>
      <w:r w:rsidRPr="00416840">
        <w:rPr>
          <w:sz w:val="22"/>
        </w:rPr>
        <w:t>The CCO must also be an officer or partner of the registered firm, or the sole proprietor of the registered firm.</w:t>
      </w:r>
    </w:p>
    <w:p w:rsidR="00416840" w:rsidRPr="00416840" w:rsidRDefault="00416840" w:rsidP="00416840">
      <w:pPr>
        <w:rPr>
          <w:sz w:val="22"/>
        </w:rPr>
      </w:pPr>
    </w:p>
    <w:p w:rsidR="00416840" w:rsidRPr="00416840" w:rsidRDefault="00416840" w:rsidP="00416840">
      <w:pPr>
        <w:rPr>
          <w:sz w:val="22"/>
        </w:rPr>
      </w:pPr>
      <w:r w:rsidRPr="00416840">
        <w:rPr>
          <w:sz w:val="22"/>
        </w:rPr>
        <w:t>The specific proficiency requirements and responsibilities for these individuals are also described in NI 31-103. The responsibilities for a UDP include</w:t>
      </w:r>
    </w:p>
    <w:p w:rsidR="00416840" w:rsidRPr="00416840" w:rsidRDefault="00416840" w:rsidP="00416840">
      <w:pPr>
        <w:numPr>
          <w:ilvl w:val="0"/>
          <w:numId w:val="35"/>
        </w:numPr>
        <w:rPr>
          <w:sz w:val="22"/>
        </w:rPr>
      </w:pPr>
      <w:r w:rsidRPr="00416840">
        <w:rPr>
          <w:sz w:val="22"/>
        </w:rPr>
        <w:t>supervising the activities of the firm that are directed towards ensuring compliance with securities legislation by the firm and each individual acting on its behalf</w:t>
      </w:r>
      <w:r>
        <w:rPr>
          <w:sz w:val="22"/>
        </w:rPr>
        <w:t>, and</w:t>
      </w:r>
    </w:p>
    <w:p w:rsidR="00416840" w:rsidRPr="00416840" w:rsidRDefault="00416840" w:rsidP="00416840">
      <w:pPr>
        <w:numPr>
          <w:ilvl w:val="0"/>
          <w:numId w:val="35"/>
        </w:numPr>
        <w:rPr>
          <w:sz w:val="22"/>
        </w:rPr>
      </w:pPr>
      <w:proofErr w:type="gramStart"/>
      <w:r w:rsidRPr="00416840">
        <w:rPr>
          <w:sz w:val="22"/>
        </w:rPr>
        <w:t>promoting</w:t>
      </w:r>
      <w:proofErr w:type="gramEnd"/>
      <w:r w:rsidRPr="00416840">
        <w:rPr>
          <w:sz w:val="22"/>
        </w:rPr>
        <w:t xml:space="preserve"> compliance by the firm and individuals acting on its behalf, with securities legislation</w:t>
      </w:r>
      <w:r>
        <w:rPr>
          <w:sz w:val="22"/>
        </w:rPr>
        <w:t>.</w:t>
      </w:r>
    </w:p>
    <w:p w:rsidR="00416840" w:rsidRPr="00416840" w:rsidRDefault="00416840" w:rsidP="00416840">
      <w:pPr>
        <w:rPr>
          <w:sz w:val="22"/>
        </w:rPr>
      </w:pPr>
    </w:p>
    <w:p w:rsidR="00416840" w:rsidRPr="00416840" w:rsidRDefault="00416840" w:rsidP="00416840">
      <w:pPr>
        <w:rPr>
          <w:sz w:val="22"/>
        </w:rPr>
      </w:pPr>
      <w:r w:rsidRPr="00416840">
        <w:rPr>
          <w:sz w:val="22"/>
        </w:rPr>
        <w:t>The responsibilities of the CCO include</w:t>
      </w:r>
    </w:p>
    <w:p w:rsidR="00416840" w:rsidRPr="00416840" w:rsidRDefault="00416840" w:rsidP="00416840">
      <w:pPr>
        <w:numPr>
          <w:ilvl w:val="0"/>
          <w:numId w:val="35"/>
        </w:numPr>
        <w:rPr>
          <w:sz w:val="22"/>
        </w:rPr>
      </w:pPr>
      <w:r w:rsidRPr="00416840">
        <w:rPr>
          <w:sz w:val="22"/>
        </w:rPr>
        <w:t>establishing and maintaining policies and procedures for assessing compliance by the firm, and individuals acting on its behalf, with securities legislation</w:t>
      </w:r>
    </w:p>
    <w:p w:rsidR="00416840" w:rsidRPr="00416840" w:rsidRDefault="00416840" w:rsidP="00416840">
      <w:pPr>
        <w:numPr>
          <w:ilvl w:val="0"/>
          <w:numId w:val="35"/>
        </w:numPr>
        <w:rPr>
          <w:sz w:val="22"/>
        </w:rPr>
      </w:pPr>
      <w:r w:rsidRPr="00416840">
        <w:rPr>
          <w:sz w:val="22"/>
        </w:rPr>
        <w:t>monitoring and assessing compliance by the firm and individuals with securities legislation</w:t>
      </w:r>
    </w:p>
    <w:p w:rsidR="00416840" w:rsidRPr="00416840" w:rsidRDefault="00416840" w:rsidP="00416840">
      <w:pPr>
        <w:numPr>
          <w:ilvl w:val="0"/>
          <w:numId w:val="35"/>
        </w:numPr>
        <w:rPr>
          <w:sz w:val="22"/>
        </w:rPr>
      </w:pPr>
      <w:r w:rsidRPr="00416840">
        <w:rPr>
          <w:sz w:val="22"/>
        </w:rPr>
        <w:t>reporting to the UDP of the firm of any instances of non-compliance, and</w:t>
      </w:r>
    </w:p>
    <w:p w:rsidR="00416840" w:rsidRPr="00416840" w:rsidRDefault="00416840" w:rsidP="00416840">
      <w:pPr>
        <w:numPr>
          <w:ilvl w:val="0"/>
          <w:numId w:val="35"/>
        </w:numPr>
        <w:rPr>
          <w:sz w:val="22"/>
        </w:rPr>
      </w:pPr>
      <w:proofErr w:type="gramStart"/>
      <w:r w:rsidRPr="00416840">
        <w:rPr>
          <w:sz w:val="22"/>
        </w:rPr>
        <w:t>submitting</w:t>
      </w:r>
      <w:proofErr w:type="gramEnd"/>
      <w:r w:rsidRPr="00416840">
        <w:rPr>
          <w:sz w:val="22"/>
        </w:rPr>
        <w:t xml:space="preserve"> an annual report to the firm’s board of directors on compliance matters.</w:t>
      </w:r>
    </w:p>
    <w:p w:rsidR="00416840" w:rsidRPr="00416840" w:rsidRDefault="00416840" w:rsidP="00416840">
      <w:pPr>
        <w:rPr>
          <w:sz w:val="22"/>
        </w:rPr>
      </w:pPr>
    </w:p>
    <w:p w:rsidR="00416840" w:rsidRPr="00416840" w:rsidRDefault="00416840" w:rsidP="00416840">
      <w:pPr>
        <w:rPr>
          <w:sz w:val="22"/>
        </w:rPr>
      </w:pPr>
      <w:r w:rsidRPr="00416840">
        <w:rPr>
          <w:sz w:val="22"/>
        </w:rPr>
        <w:t>Every registered firm is required to give the UDP and CCO the ability to directly access the firm’s board of directors, or equivalent, whenever the UDP or CCO consider this access necessary or advisable. This will ensure that important issues related to compliance can be brought to the highest levels of the firm.</w:t>
      </w:r>
    </w:p>
    <w:p w:rsidR="00D749D3" w:rsidRDefault="00D749D3" w:rsidP="00B5086B">
      <w:pPr>
        <w:rPr>
          <w:sz w:val="22"/>
        </w:rPr>
      </w:pPr>
    </w:p>
    <w:p w:rsidR="005A3A53" w:rsidRDefault="005A3A53" w:rsidP="00B5086B">
      <w:pPr>
        <w:rPr>
          <w:sz w:val="22"/>
        </w:rPr>
      </w:pPr>
    </w:p>
    <w:p w:rsidR="00174C55" w:rsidRDefault="00174C55" w:rsidP="00174C55">
      <w:pPr>
        <w:rPr>
          <w:b/>
          <w:sz w:val="22"/>
        </w:rPr>
      </w:pPr>
      <w:r w:rsidRPr="00174C55">
        <w:rPr>
          <w:b/>
          <w:sz w:val="22"/>
        </w:rPr>
        <w:t xml:space="preserve">AUTHORIZATION OF </w:t>
      </w:r>
      <w:r>
        <w:rPr>
          <w:b/>
          <w:sz w:val="22"/>
        </w:rPr>
        <w:t xml:space="preserve">INVESTMENT FUNDS </w:t>
      </w:r>
    </w:p>
    <w:p w:rsidR="00174C55" w:rsidRDefault="00174C55" w:rsidP="00174C55">
      <w:pPr>
        <w:rPr>
          <w:b/>
          <w:sz w:val="22"/>
        </w:rPr>
      </w:pPr>
    </w:p>
    <w:p w:rsidR="00174C55" w:rsidRPr="00174C55" w:rsidRDefault="00174C55" w:rsidP="00174C55">
      <w:pPr>
        <w:rPr>
          <w:b/>
          <w:sz w:val="22"/>
        </w:rPr>
      </w:pPr>
      <w:r w:rsidRPr="00174C55">
        <w:rPr>
          <w:b/>
          <w:sz w:val="22"/>
        </w:rPr>
        <w:t>Authorization of a conventional and non-conventional investment fund</w:t>
      </w:r>
    </w:p>
    <w:p w:rsidR="00174C55" w:rsidRPr="00174C55" w:rsidRDefault="00174C55" w:rsidP="00174C55">
      <w:pPr>
        <w:rPr>
          <w:sz w:val="22"/>
        </w:rPr>
      </w:pPr>
      <w:r w:rsidRPr="00174C55">
        <w:rPr>
          <w:sz w:val="22"/>
        </w:rPr>
        <w:t xml:space="preserve">Within the securities legislation of each jurisdiction, securities may only be distributed to the public if a prospectus is filed and a receipt is issued.  A receipt will be issued for the prospectus unless it is not in the public interest to do so.  A receipt will not be issued if the prospectus or any document required to be filed with it: </w:t>
      </w:r>
    </w:p>
    <w:p w:rsidR="00174C55" w:rsidRPr="00174C55" w:rsidRDefault="00174C55" w:rsidP="00174C55">
      <w:pPr>
        <w:numPr>
          <w:ilvl w:val="0"/>
          <w:numId w:val="44"/>
        </w:numPr>
        <w:rPr>
          <w:sz w:val="22"/>
        </w:rPr>
      </w:pPr>
      <w:r w:rsidRPr="00174C55">
        <w:rPr>
          <w:sz w:val="22"/>
        </w:rPr>
        <w:lastRenderedPageBreak/>
        <w:t xml:space="preserve">does not comply in any substantial respect with any of the requirements of securities law </w:t>
      </w:r>
    </w:p>
    <w:p w:rsidR="00174C55" w:rsidRPr="00174C55" w:rsidRDefault="00174C55" w:rsidP="00174C55">
      <w:pPr>
        <w:numPr>
          <w:ilvl w:val="0"/>
          <w:numId w:val="44"/>
        </w:numPr>
        <w:rPr>
          <w:sz w:val="22"/>
        </w:rPr>
      </w:pPr>
      <w:r w:rsidRPr="00174C55">
        <w:rPr>
          <w:sz w:val="22"/>
        </w:rPr>
        <w:t xml:space="preserve">contains any statement, promise, estimate or forward looking information that is misleading, false or deceptive, or </w:t>
      </w:r>
    </w:p>
    <w:p w:rsidR="00174C55" w:rsidRPr="00174C55" w:rsidRDefault="00174C55" w:rsidP="00174C55">
      <w:pPr>
        <w:numPr>
          <w:ilvl w:val="0"/>
          <w:numId w:val="44"/>
        </w:numPr>
        <w:rPr>
          <w:sz w:val="22"/>
        </w:rPr>
      </w:pPr>
      <w:proofErr w:type="gramStart"/>
      <w:r w:rsidRPr="00174C55">
        <w:rPr>
          <w:sz w:val="22"/>
        </w:rPr>
        <w:t>contains</w:t>
      </w:r>
      <w:proofErr w:type="gramEnd"/>
      <w:r w:rsidRPr="00174C55">
        <w:rPr>
          <w:sz w:val="22"/>
        </w:rPr>
        <w:t xml:space="preserve"> a misrepresentation.</w:t>
      </w:r>
    </w:p>
    <w:p w:rsidR="00174C55" w:rsidRPr="00174C55" w:rsidRDefault="00174C55" w:rsidP="00174C55">
      <w:pPr>
        <w:rPr>
          <w:sz w:val="22"/>
        </w:rPr>
      </w:pPr>
    </w:p>
    <w:p w:rsidR="00560587" w:rsidRPr="00361D6B" w:rsidRDefault="00560587" w:rsidP="00560587">
      <w:pPr>
        <w:rPr>
          <w:sz w:val="22"/>
          <w:u w:val="single"/>
        </w:rPr>
      </w:pPr>
      <w:r w:rsidRPr="00361D6B">
        <w:rPr>
          <w:sz w:val="22"/>
          <w:u w:val="single"/>
        </w:rPr>
        <w:t>Prospectus review process</w:t>
      </w:r>
    </w:p>
    <w:p w:rsidR="00560587" w:rsidRPr="00560587" w:rsidRDefault="00560587" w:rsidP="00560587">
      <w:pPr>
        <w:rPr>
          <w:sz w:val="22"/>
        </w:rPr>
      </w:pPr>
      <w:r w:rsidRPr="00560587">
        <w:rPr>
          <w:sz w:val="22"/>
        </w:rPr>
        <w:t xml:space="preserve">NI 41-101 prescribes the use of Form 41-101F2 </w:t>
      </w:r>
      <w:r w:rsidRPr="00560587">
        <w:rPr>
          <w:i/>
          <w:sz w:val="22"/>
        </w:rPr>
        <w:t xml:space="preserve">Information Required in an Investment Fund Prospectus </w:t>
      </w:r>
      <w:r w:rsidRPr="00560587">
        <w:rPr>
          <w:sz w:val="22"/>
        </w:rPr>
        <w:t>(</w:t>
      </w:r>
      <w:r w:rsidRPr="00361D6B">
        <w:rPr>
          <w:b/>
          <w:sz w:val="22"/>
        </w:rPr>
        <w:t>Form 41-101F2</w:t>
      </w:r>
      <w:r w:rsidRPr="00560587">
        <w:rPr>
          <w:sz w:val="22"/>
        </w:rPr>
        <w:t xml:space="preserve">) by all investment funds filing a prospectus, other than conventional investment funds that file prospectuses under NI 81-101 and who accordingly, use the corresponding Form 81-101F1 </w:t>
      </w:r>
      <w:r w:rsidRPr="00560587">
        <w:rPr>
          <w:i/>
          <w:sz w:val="22"/>
        </w:rPr>
        <w:t xml:space="preserve">Contents of Simplified Prospectus </w:t>
      </w:r>
      <w:r w:rsidRPr="00560587">
        <w:rPr>
          <w:sz w:val="22"/>
        </w:rPr>
        <w:t>(</w:t>
      </w:r>
      <w:r w:rsidRPr="00361D6B">
        <w:rPr>
          <w:b/>
          <w:sz w:val="22"/>
        </w:rPr>
        <w:t>Form 81-101F1</w:t>
      </w:r>
      <w:r w:rsidRPr="00560587">
        <w:rPr>
          <w:sz w:val="22"/>
        </w:rPr>
        <w:t xml:space="preserve">). </w:t>
      </w:r>
    </w:p>
    <w:p w:rsidR="00560587" w:rsidRPr="00560587" w:rsidRDefault="00560587" w:rsidP="00560587">
      <w:pPr>
        <w:rPr>
          <w:sz w:val="22"/>
        </w:rPr>
      </w:pPr>
    </w:p>
    <w:p w:rsidR="00560587" w:rsidRPr="00560587" w:rsidRDefault="00560587" w:rsidP="00560587">
      <w:pPr>
        <w:rPr>
          <w:sz w:val="22"/>
        </w:rPr>
      </w:pPr>
      <w:r w:rsidRPr="00560587">
        <w:rPr>
          <w:sz w:val="22"/>
        </w:rPr>
        <w:t xml:space="preserve">Both forms include specific disclosure requirements for investment funds that are in addition to the general requirement in securities legislation to provide full, true and plain disclosure of all material facts in the prospectus relating to the securities to be distributed. The prospectus of a conventional investment fund in continuous distribution is renewed on a yearly basis. </w:t>
      </w:r>
    </w:p>
    <w:p w:rsidR="00560587" w:rsidRPr="00560587" w:rsidRDefault="00560587" w:rsidP="00560587">
      <w:pPr>
        <w:rPr>
          <w:sz w:val="22"/>
        </w:rPr>
      </w:pPr>
    </w:p>
    <w:p w:rsidR="00560587" w:rsidRPr="00560587" w:rsidRDefault="00560587" w:rsidP="00560587">
      <w:pPr>
        <w:rPr>
          <w:sz w:val="22"/>
        </w:rPr>
      </w:pPr>
      <w:r w:rsidRPr="00560587">
        <w:rPr>
          <w:sz w:val="22"/>
        </w:rPr>
        <w:t xml:space="preserve">As part of the prospectus review process, </w:t>
      </w:r>
      <w:proofErr w:type="gramStart"/>
      <w:r w:rsidRPr="00560587">
        <w:rPr>
          <w:sz w:val="22"/>
        </w:rPr>
        <w:t>staff verify</w:t>
      </w:r>
      <w:proofErr w:type="gramEnd"/>
      <w:r w:rsidRPr="00560587">
        <w:rPr>
          <w:sz w:val="22"/>
        </w:rPr>
        <w:t xml:space="preserve"> compliance with specific regulatory and form disclosure requirements to ensure that clear and </w:t>
      </w:r>
      <w:r w:rsidR="00AC4DF6">
        <w:rPr>
          <w:sz w:val="22"/>
        </w:rPr>
        <w:t>sufficient</w:t>
      </w:r>
      <w:r w:rsidR="00AC4DF6" w:rsidRPr="00560587">
        <w:rPr>
          <w:sz w:val="22"/>
        </w:rPr>
        <w:t xml:space="preserve"> </w:t>
      </w:r>
      <w:r w:rsidRPr="00560587">
        <w:rPr>
          <w:sz w:val="22"/>
        </w:rPr>
        <w:t>information about the investment fund is provided to investors to allow them to make informed investment decisions.</w:t>
      </w:r>
    </w:p>
    <w:p w:rsidR="00560587" w:rsidRPr="00560587" w:rsidRDefault="00560587" w:rsidP="00560587">
      <w:pPr>
        <w:rPr>
          <w:sz w:val="22"/>
        </w:rPr>
      </w:pPr>
    </w:p>
    <w:p w:rsidR="00560587" w:rsidRPr="00560587" w:rsidRDefault="00560587" w:rsidP="00560587">
      <w:pPr>
        <w:rPr>
          <w:sz w:val="22"/>
        </w:rPr>
      </w:pPr>
      <w:r w:rsidRPr="00560587">
        <w:rPr>
          <w:sz w:val="22"/>
        </w:rPr>
        <w:t>In addition, the CSA also expect the disclosure to conform with plain language principles so that the disclosure is presented in an easy to read manner that can be understood by investors and more easily compared to other investment funds. This disclosure, combined with the implementation of the Fund Facts document discussed below, is one of the most important means of providing investor protection.</w:t>
      </w:r>
    </w:p>
    <w:p w:rsidR="00560587" w:rsidRPr="00560587" w:rsidRDefault="00560587" w:rsidP="00560587">
      <w:pPr>
        <w:rPr>
          <w:sz w:val="22"/>
        </w:rPr>
      </w:pPr>
    </w:p>
    <w:p w:rsidR="00560587" w:rsidRPr="00361D6B" w:rsidRDefault="00560587" w:rsidP="00560587">
      <w:pPr>
        <w:rPr>
          <w:sz w:val="22"/>
          <w:u w:val="single"/>
        </w:rPr>
      </w:pPr>
      <w:r w:rsidRPr="00361D6B">
        <w:rPr>
          <w:sz w:val="22"/>
          <w:u w:val="single"/>
        </w:rPr>
        <w:t>Investment funds listed on an exchange</w:t>
      </w:r>
    </w:p>
    <w:p w:rsidR="00560587" w:rsidRPr="00560587" w:rsidRDefault="00560587" w:rsidP="00560587">
      <w:pPr>
        <w:rPr>
          <w:sz w:val="22"/>
        </w:rPr>
      </w:pPr>
      <w:r w:rsidRPr="00560587">
        <w:rPr>
          <w:sz w:val="22"/>
        </w:rPr>
        <w:t>In addition to filing a p</w:t>
      </w:r>
      <w:r>
        <w:rPr>
          <w:sz w:val="22"/>
        </w:rPr>
        <w:t xml:space="preserve">rospectus with the regulator, an investment fund </w:t>
      </w:r>
      <w:r w:rsidRPr="00560587">
        <w:rPr>
          <w:sz w:val="22"/>
        </w:rPr>
        <w:t xml:space="preserve">that will trade on an exchange such as the TSX or CNSX must prepare a listing application for review and approval by the exchange.  Once approved, the investment fund must comply with the exchanges' continued listing requirements, including requirements with respect to the timely and periodic disclosure of material information, requirements relating to the issuance of additional securities, including securities issued as compensation, and minimum market capitalisation and public float requirements. </w:t>
      </w:r>
    </w:p>
    <w:p w:rsidR="00560587" w:rsidRPr="00560587" w:rsidRDefault="00560587" w:rsidP="00560587">
      <w:pPr>
        <w:rPr>
          <w:sz w:val="22"/>
        </w:rPr>
      </w:pPr>
    </w:p>
    <w:p w:rsidR="00560587" w:rsidRPr="00560587" w:rsidRDefault="00560587" w:rsidP="00560587">
      <w:pPr>
        <w:rPr>
          <w:sz w:val="22"/>
        </w:rPr>
      </w:pPr>
      <w:r w:rsidRPr="00560587">
        <w:rPr>
          <w:sz w:val="22"/>
        </w:rPr>
        <w:lastRenderedPageBreak/>
        <w:t>The investment fund’s compliance with the established reporting requirements of the exchange will be the responsibility of the exchange. The regulator’s role is limited to supervisory oversight of the operations of the exchange as part of its market regulation activities.</w:t>
      </w:r>
    </w:p>
    <w:p w:rsidR="00560587" w:rsidRPr="00560587" w:rsidRDefault="00560587" w:rsidP="00560587">
      <w:pPr>
        <w:rPr>
          <w:sz w:val="22"/>
        </w:rPr>
      </w:pPr>
    </w:p>
    <w:p w:rsidR="00560587" w:rsidRPr="00361D6B" w:rsidRDefault="00560587" w:rsidP="00560587">
      <w:pPr>
        <w:rPr>
          <w:sz w:val="22"/>
          <w:u w:val="single"/>
        </w:rPr>
      </w:pPr>
      <w:r w:rsidRPr="00361D6B">
        <w:rPr>
          <w:sz w:val="22"/>
          <w:u w:val="single"/>
        </w:rPr>
        <w:t>Review of Fund Facts document</w:t>
      </w:r>
    </w:p>
    <w:p w:rsidR="00FD6348" w:rsidRDefault="00560587" w:rsidP="00560587">
      <w:pPr>
        <w:rPr>
          <w:sz w:val="22"/>
        </w:rPr>
      </w:pPr>
      <w:r w:rsidRPr="00560587">
        <w:rPr>
          <w:sz w:val="22"/>
        </w:rPr>
        <w:t xml:space="preserve">Section 2 of NI 81-101 requires a conventional investment fund to prepare and file a Fund Facts document. </w:t>
      </w:r>
      <w:r>
        <w:rPr>
          <w:sz w:val="22"/>
        </w:rPr>
        <w:t xml:space="preserve"> </w:t>
      </w:r>
      <w:r w:rsidRPr="00560587">
        <w:rPr>
          <w:sz w:val="22"/>
        </w:rPr>
        <w:t>The Fund Facts document is in plain language, no more than two pages double-sided and highlights key information that is important to investors, including past performance, risks and the costs of investing in a mutual fund.</w:t>
      </w:r>
      <w:r>
        <w:rPr>
          <w:sz w:val="22"/>
        </w:rPr>
        <w:t xml:space="preserve"> </w:t>
      </w:r>
      <w:r w:rsidRPr="00560587">
        <w:rPr>
          <w:sz w:val="22"/>
        </w:rPr>
        <w:t xml:space="preserve"> </w:t>
      </w:r>
      <w:r>
        <w:rPr>
          <w:sz w:val="22"/>
        </w:rPr>
        <w:t>D</w:t>
      </w:r>
      <w:r w:rsidRPr="00560587">
        <w:rPr>
          <w:sz w:val="22"/>
        </w:rPr>
        <w:t xml:space="preserve">elivery of the Fund Facts document </w:t>
      </w:r>
      <w:r>
        <w:rPr>
          <w:sz w:val="22"/>
        </w:rPr>
        <w:t xml:space="preserve">is required </w:t>
      </w:r>
      <w:r w:rsidRPr="00560587">
        <w:rPr>
          <w:sz w:val="22"/>
        </w:rPr>
        <w:t xml:space="preserve">within two days of buying a conventional </w:t>
      </w:r>
      <w:r>
        <w:rPr>
          <w:sz w:val="22"/>
        </w:rPr>
        <w:t>investment fund</w:t>
      </w:r>
      <w:r w:rsidRPr="00560587">
        <w:rPr>
          <w:sz w:val="22"/>
        </w:rPr>
        <w:t>.</w:t>
      </w:r>
      <w:r w:rsidR="00FD6348">
        <w:rPr>
          <w:sz w:val="22"/>
        </w:rPr>
        <w:t xml:space="preserve">  </w:t>
      </w:r>
      <w:r w:rsidR="0003362D">
        <w:rPr>
          <w:sz w:val="22"/>
        </w:rPr>
        <w:t>Effective May 30, 2016, pre-sale delivery of the Fund Facts document will be required.</w:t>
      </w:r>
    </w:p>
    <w:p w:rsidR="00560587" w:rsidRPr="00560587" w:rsidRDefault="00560587" w:rsidP="00560587">
      <w:pPr>
        <w:rPr>
          <w:sz w:val="22"/>
        </w:rPr>
      </w:pPr>
    </w:p>
    <w:p w:rsidR="00174C55" w:rsidRPr="00174C55" w:rsidRDefault="00174C55" w:rsidP="00174C55">
      <w:pPr>
        <w:rPr>
          <w:b/>
          <w:sz w:val="22"/>
        </w:rPr>
      </w:pPr>
      <w:r w:rsidRPr="00174C55">
        <w:rPr>
          <w:b/>
          <w:sz w:val="22"/>
        </w:rPr>
        <w:t>Authorization of a prospectus-exempt investment fund</w:t>
      </w:r>
    </w:p>
    <w:p w:rsidR="00174C55" w:rsidRPr="00174C55" w:rsidRDefault="00174C55" w:rsidP="00174C55">
      <w:pPr>
        <w:rPr>
          <w:sz w:val="22"/>
        </w:rPr>
      </w:pPr>
      <w:r w:rsidRPr="00174C55">
        <w:rPr>
          <w:sz w:val="22"/>
        </w:rPr>
        <w:t xml:space="preserve">Unlike the process for prospectus qualified investment funds, the regulator does not review the offering documents of prospectus-exempt investment funds. As part of a subsequent compliance inspection of an IFM, </w:t>
      </w:r>
      <w:proofErr w:type="gramStart"/>
      <w:r w:rsidRPr="00174C55">
        <w:rPr>
          <w:sz w:val="22"/>
        </w:rPr>
        <w:t>staff review</w:t>
      </w:r>
      <w:proofErr w:type="gramEnd"/>
      <w:r w:rsidRPr="00174C55">
        <w:rPr>
          <w:sz w:val="22"/>
        </w:rPr>
        <w:t xml:space="preserve"> the documents to ensure that the disclosure contained therein is appropriate and to obtain an understanding of the investment fund’s features and risks. </w:t>
      </w:r>
    </w:p>
    <w:p w:rsidR="00174C55" w:rsidRPr="00174C55" w:rsidRDefault="00174C55" w:rsidP="00174C55">
      <w:pPr>
        <w:rPr>
          <w:sz w:val="22"/>
        </w:rPr>
      </w:pPr>
    </w:p>
    <w:p w:rsidR="00174C55" w:rsidRPr="00174C55" w:rsidRDefault="00174C55" w:rsidP="00174C55">
      <w:pPr>
        <w:rPr>
          <w:sz w:val="22"/>
        </w:rPr>
      </w:pPr>
      <w:r w:rsidRPr="00174C55">
        <w:rPr>
          <w:sz w:val="22"/>
        </w:rPr>
        <w:t>Although there is no preliminary review of the offering documents for prospectus-exempt investment funds, staff mitigate these risks by registering all firms and individuals who are involved in the distribution, advising and operating of these investment funds. Firms and individuals who are registered must adhere to the requirements of NI 31-103.</w:t>
      </w:r>
    </w:p>
    <w:p w:rsidR="00174C55" w:rsidRPr="00174C55" w:rsidRDefault="00174C55" w:rsidP="00174C55">
      <w:pPr>
        <w:rPr>
          <w:sz w:val="22"/>
        </w:rPr>
      </w:pPr>
    </w:p>
    <w:p w:rsidR="00174C55" w:rsidRPr="00174C55" w:rsidRDefault="00174C55" w:rsidP="00174C55">
      <w:pPr>
        <w:rPr>
          <w:sz w:val="22"/>
        </w:rPr>
      </w:pPr>
      <w:r w:rsidRPr="00174C55">
        <w:rPr>
          <w:sz w:val="22"/>
        </w:rPr>
        <w:t xml:space="preserve">Further, the exemptions under NI 45-106 contain conditions that either </w:t>
      </w:r>
      <w:proofErr w:type="gramStart"/>
      <w:r w:rsidRPr="00174C55">
        <w:rPr>
          <w:sz w:val="22"/>
        </w:rPr>
        <w:t>limit</w:t>
      </w:r>
      <w:proofErr w:type="gramEnd"/>
      <w:r w:rsidRPr="00174C55">
        <w:rPr>
          <w:sz w:val="22"/>
        </w:rPr>
        <w:t xml:space="preserve"> the distributions of prospectus-exempt investment funds to persons that have sufficient investment knowledge or the resources to obtain expert advice, or require substituted disclosure.</w:t>
      </w:r>
      <w:r w:rsidRPr="00174C55" w:rsidDel="002A4A9E">
        <w:rPr>
          <w:sz w:val="22"/>
        </w:rPr>
        <w:t xml:space="preserve"> </w:t>
      </w:r>
    </w:p>
    <w:p w:rsidR="00D749D3" w:rsidRPr="00D749D3" w:rsidRDefault="00D749D3" w:rsidP="00D749D3">
      <w:pPr>
        <w:rPr>
          <w:b/>
          <w:sz w:val="22"/>
        </w:rPr>
      </w:pPr>
    </w:p>
    <w:p w:rsidR="00D253C5" w:rsidRDefault="00D253C5">
      <w:pPr>
        <w:rPr>
          <w:sz w:val="22"/>
        </w:rPr>
      </w:pPr>
    </w:p>
    <w:p w:rsidR="00B31031" w:rsidRPr="00B31031" w:rsidRDefault="00474834" w:rsidP="00B31031">
      <w:pPr>
        <w:rPr>
          <w:b/>
          <w:sz w:val="22"/>
        </w:rPr>
      </w:pPr>
      <w:r>
        <w:rPr>
          <w:b/>
          <w:sz w:val="22"/>
        </w:rPr>
        <w:t>KEY</w:t>
      </w:r>
      <w:r w:rsidR="000B3491">
        <w:rPr>
          <w:b/>
          <w:sz w:val="22"/>
        </w:rPr>
        <w:t xml:space="preserve"> REQUIREMENTS UNDER </w:t>
      </w:r>
      <w:r w:rsidR="000B3491" w:rsidRPr="00B31031">
        <w:rPr>
          <w:b/>
          <w:sz w:val="22"/>
        </w:rPr>
        <w:t>NI 31-103</w:t>
      </w:r>
      <w:r w:rsidR="002433AA">
        <w:rPr>
          <w:rStyle w:val="FootnoteReference"/>
          <w:b/>
          <w:sz w:val="22"/>
        </w:rPr>
        <w:footnoteReference w:id="3"/>
      </w:r>
    </w:p>
    <w:p w:rsidR="00B31031" w:rsidRDefault="00B31031" w:rsidP="00B31031">
      <w:pPr>
        <w:rPr>
          <w:sz w:val="22"/>
        </w:rPr>
      </w:pPr>
    </w:p>
    <w:p w:rsidR="00F92FE0" w:rsidRPr="00F92FE0" w:rsidRDefault="00F92FE0" w:rsidP="00F92FE0">
      <w:pPr>
        <w:rPr>
          <w:sz w:val="22"/>
        </w:rPr>
      </w:pPr>
      <w:r w:rsidRPr="00F92FE0">
        <w:rPr>
          <w:b/>
          <w:sz w:val="22"/>
        </w:rPr>
        <w:t>Management and supervision – compliance and risk management</w:t>
      </w:r>
    </w:p>
    <w:p w:rsidR="00F92FE0" w:rsidRPr="00F92FE0" w:rsidRDefault="00F92FE0" w:rsidP="00F92FE0">
      <w:pPr>
        <w:rPr>
          <w:sz w:val="22"/>
        </w:rPr>
      </w:pPr>
      <w:r w:rsidRPr="00F92FE0">
        <w:rPr>
          <w:sz w:val="22"/>
        </w:rPr>
        <w:lastRenderedPageBreak/>
        <w:t xml:space="preserve">All dealers, advisers and </w:t>
      </w:r>
      <w:r>
        <w:rPr>
          <w:sz w:val="22"/>
        </w:rPr>
        <w:t>IFM</w:t>
      </w:r>
      <w:r w:rsidRPr="00F92FE0">
        <w:rPr>
          <w:sz w:val="22"/>
        </w:rPr>
        <w:t>s are required to have a compliance system in place. Part 11 of NI 31-103 outlines the internal controls and system requirements for registered firms, which includes a risk management framework.</w:t>
      </w:r>
      <w:r>
        <w:rPr>
          <w:sz w:val="22"/>
        </w:rPr>
        <w:t xml:space="preserve">  </w:t>
      </w:r>
      <w:r w:rsidRPr="00F92FE0">
        <w:rPr>
          <w:sz w:val="22"/>
        </w:rPr>
        <w:t xml:space="preserve">Specifically, NI 31-103 requires each firm registered as a dealer, adviser and/or </w:t>
      </w:r>
      <w:r>
        <w:rPr>
          <w:sz w:val="22"/>
        </w:rPr>
        <w:t>IFM</w:t>
      </w:r>
      <w:r w:rsidRPr="00F92FE0">
        <w:rPr>
          <w:sz w:val="22"/>
        </w:rPr>
        <w:t xml:space="preserve"> to establish, maintain and apply policies and procedures that establish a system of controls and supervision that:</w:t>
      </w:r>
    </w:p>
    <w:p w:rsidR="00F92FE0" w:rsidRPr="00F92FE0" w:rsidRDefault="00F92FE0" w:rsidP="00857EE6">
      <w:pPr>
        <w:numPr>
          <w:ilvl w:val="0"/>
          <w:numId w:val="55"/>
        </w:numPr>
        <w:tabs>
          <w:tab w:val="clear" w:pos="720"/>
          <w:tab w:val="num" w:pos="360"/>
        </w:tabs>
        <w:rPr>
          <w:sz w:val="22"/>
        </w:rPr>
      </w:pPr>
      <w:r w:rsidRPr="00F92FE0">
        <w:rPr>
          <w:sz w:val="22"/>
        </w:rPr>
        <w:t xml:space="preserve">provides reasonable assurance that the firm and the individuals acting on its behalf comply with securities legislation; and </w:t>
      </w:r>
    </w:p>
    <w:p w:rsidR="00F92FE0" w:rsidRPr="00F92FE0" w:rsidRDefault="00F92FE0" w:rsidP="00F92FE0">
      <w:pPr>
        <w:numPr>
          <w:ilvl w:val="0"/>
          <w:numId w:val="55"/>
        </w:numPr>
        <w:rPr>
          <w:sz w:val="22"/>
        </w:rPr>
      </w:pPr>
      <w:proofErr w:type="gramStart"/>
      <w:r w:rsidRPr="00F92FE0">
        <w:rPr>
          <w:sz w:val="22"/>
        </w:rPr>
        <w:t>manage</w:t>
      </w:r>
      <w:proofErr w:type="gramEnd"/>
      <w:r w:rsidRPr="00F92FE0">
        <w:rPr>
          <w:sz w:val="22"/>
        </w:rPr>
        <w:t xml:space="preserve"> the risks associated with its business in accordance with prudent business practices. </w:t>
      </w:r>
    </w:p>
    <w:p w:rsidR="00F92FE0" w:rsidRPr="00F92FE0" w:rsidRDefault="00F92FE0" w:rsidP="00F92FE0">
      <w:pPr>
        <w:rPr>
          <w:sz w:val="22"/>
        </w:rPr>
      </w:pPr>
    </w:p>
    <w:p w:rsidR="00F92FE0" w:rsidRPr="00F92FE0" w:rsidRDefault="00F92FE0" w:rsidP="00F92FE0">
      <w:pPr>
        <w:rPr>
          <w:sz w:val="22"/>
        </w:rPr>
      </w:pPr>
      <w:r w:rsidRPr="00F92FE0">
        <w:rPr>
          <w:sz w:val="22"/>
        </w:rPr>
        <w:t>A compliance system should include internal controls and monitoring systems that are reasonably likely to identify non-compliance at an early stage and supervisory systems that allow the firm to correct the non-compliant conduct in a timely manner.  Part 11 of the Companion Policy to NI 31-103 (</w:t>
      </w:r>
      <w:r w:rsidRPr="00F92FE0">
        <w:rPr>
          <w:b/>
          <w:sz w:val="22"/>
        </w:rPr>
        <w:t>31-103CP</w:t>
      </w:r>
      <w:r w:rsidRPr="00F92FE0">
        <w:rPr>
          <w:sz w:val="22"/>
        </w:rPr>
        <w:t>) provides guidance on the risk areas that a firm should consider in designing its internal controls, including the risks associated with</w:t>
      </w:r>
    </w:p>
    <w:p w:rsidR="00F92FE0" w:rsidRPr="00F92FE0" w:rsidRDefault="00F92FE0" w:rsidP="00F92FE0">
      <w:pPr>
        <w:numPr>
          <w:ilvl w:val="0"/>
          <w:numId w:val="37"/>
        </w:numPr>
        <w:rPr>
          <w:sz w:val="22"/>
        </w:rPr>
      </w:pPr>
      <w:r w:rsidRPr="00F92FE0">
        <w:rPr>
          <w:sz w:val="22"/>
        </w:rPr>
        <w:t>safeguarding of client and firm assets</w:t>
      </w:r>
    </w:p>
    <w:p w:rsidR="00F92FE0" w:rsidRPr="00F92FE0" w:rsidRDefault="00F92FE0" w:rsidP="00F92FE0">
      <w:pPr>
        <w:numPr>
          <w:ilvl w:val="0"/>
          <w:numId w:val="37"/>
        </w:numPr>
        <w:rPr>
          <w:sz w:val="22"/>
        </w:rPr>
      </w:pPr>
      <w:r w:rsidRPr="00F92FE0">
        <w:rPr>
          <w:sz w:val="22"/>
        </w:rPr>
        <w:t>accuracy of books and records</w:t>
      </w:r>
    </w:p>
    <w:p w:rsidR="00F92FE0" w:rsidRPr="00F92FE0" w:rsidRDefault="00F92FE0" w:rsidP="00F92FE0">
      <w:pPr>
        <w:numPr>
          <w:ilvl w:val="0"/>
          <w:numId w:val="37"/>
        </w:numPr>
        <w:rPr>
          <w:sz w:val="22"/>
        </w:rPr>
      </w:pPr>
      <w:r w:rsidRPr="00F92FE0">
        <w:rPr>
          <w:sz w:val="22"/>
        </w:rPr>
        <w:t>conflicts of interest</w:t>
      </w:r>
    </w:p>
    <w:p w:rsidR="00F92FE0" w:rsidRPr="00F92FE0" w:rsidRDefault="00F92FE0" w:rsidP="00F92FE0">
      <w:pPr>
        <w:numPr>
          <w:ilvl w:val="0"/>
          <w:numId w:val="37"/>
        </w:numPr>
        <w:rPr>
          <w:sz w:val="22"/>
        </w:rPr>
      </w:pPr>
      <w:r w:rsidRPr="00F92FE0">
        <w:rPr>
          <w:sz w:val="22"/>
        </w:rPr>
        <w:t>money laundering</w:t>
      </w:r>
    </w:p>
    <w:p w:rsidR="00F92FE0" w:rsidRPr="00F92FE0" w:rsidRDefault="00F92FE0" w:rsidP="00F92FE0">
      <w:pPr>
        <w:numPr>
          <w:ilvl w:val="0"/>
          <w:numId w:val="37"/>
        </w:numPr>
        <w:rPr>
          <w:sz w:val="22"/>
        </w:rPr>
      </w:pPr>
      <w:r w:rsidRPr="00F92FE0">
        <w:rPr>
          <w:sz w:val="22"/>
        </w:rPr>
        <w:t>business interruption</w:t>
      </w:r>
    </w:p>
    <w:p w:rsidR="00F92FE0" w:rsidRPr="00F92FE0" w:rsidRDefault="00F92FE0" w:rsidP="00F92FE0">
      <w:pPr>
        <w:numPr>
          <w:ilvl w:val="0"/>
          <w:numId w:val="37"/>
        </w:numPr>
        <w:rPr>
          <w:sz w:val="22"/>
        </w:rPr>
      </w:pPr>
      <w:r w:rsidRPr="00F92FE0">
        <w:rPr>
          <w:sz w:val="22"/>
        </w:rPr>
        <w:t>marketing and sales practices, and</w:t>
      </w:r>
    </w:p>
    <w:p w:rsidR="00F92FE0" w:rsidRPr="00F92FE0" w:rsidRDefault="00F92FE0" w:rsidP="00F92FE0">
      <w:pPr>
        <w:numPr>
          <w:ilvl w:val="0"/>
          <w:numId w:val="37"/>
        </w:numPr>
        <w:rPr>
          <w:sz w:val="22"/>
        </w:rPr>
      </w:pPr>
      <w:proofErr w:type="gramStart"/>
      <w:r w:rsidRPr="00F92FE0">
        <w:rPr>
          <w:sz w:val="22"/>
        </w:rPr>
        <w:t>the</w:t>
      </w:r>
      <w:proofErr w:type="gramEnd"/>
      <w:r w:rsidRPr="00F92FE0">
        <w:rPr>
          <w:sz w:val="22"/>
        </w:rPr>
        <w:t xml:space="preserve"> firm’s overall financial viability.</w:t>
      </w:r>
    </w:p>
    <w:p w:rsidR="00F92FE0" w:rsidRPr="00F92FE0" w:rsidRDefault="00F92FE0" w:rsidP="00F92FE0">
      <w:pPr>
        <w:rPr>
          <w:sz w:val="22"/>
        </w:rPr>
      </w:pPr>
    </w:p>
    <w:p w:rsidR="00F92FE0" w:rsidRPr="00F92FE0" w:rsidRDefault="00F92FE0" w:rsidP="00F92FE0">
      <w:pPr>
        <w:rPr>
          <w:sz w:val="22"/>
        </w:rPr>
      </w:pPr>
      <w:r w:rsidRPr="00F92FE0">
        <w:rPr>
          <w:sz w:val="22"/>
        </w:rPr>
        <w:t xml:space="preserve">31-103CP also provides guidance on the monitoring and supervision that may be incorporated into a firm’s compliance system.  These consist of day to day monitoring and overall systemic monitoring.  It is up to each firm to establish policies and procedures that are appropriate based on the size, complexity and risks associated with its business and the investment funds that it manages.  Internal controls should mitigate the risks and protect the assets of the firm and the investment funds.  During a compliance inspection, the regulator reviews the policies and procedures to ensure they are adequate and meet regulatory requirements. </w:t>
      </w:r>
    </w:p>
    <w:p w:rsidR="00F92FE0" w:rsidRPr="00F92FE0" w:rsidRDefault="00F92FE0" w:rsidP="00F92FE0">
      <w:pPr>
        <w:rPr>
          <w:sz w:val="22"/>
        </w:rPr>
      </w:pPr>
    </w:p>
    <w:p w:rsidR="00F92FE0" w:rsidRPr="00361D6B" w:rsidRDefault="00F92FE0" w:rsidP="00F92FE0">
      <w:pPr>
        <w:rPr>
          <w:sz w:val="22"/>
        </w:rPr>
      </w:pPr>
      <w:r w:rsidRPr="00F92FE0">
        <w:rPr>
          <w:sz w:val="22"/>
        </w:rPr>
        <w:t xml:space="preserve">A registered firm must also have a designated UDP and CCO as part of its compliance system as mentioned above. </w:t>
      </w:r>
      <w:r>
        <w:rPr>
          <w:sz w:val="22"/>
        </w:rPr>
        <w:t xml:space="preserve"> </w:t>
      </w:r>
      <w:r w:rsidRPr="00F92FE0">
        <w:rPr>
          <w:sz w:val="22"/>
        </w:rPr>
        <w:t xml:space="preserve">Every registered firm is required to give the UDP and CCO direct access to the firm’s board of directors, or equivalent, whenever the UDP or CCO consider this access necessary or advisable. </w:t>
      </w:r>
      <w:r>
        <w:rPr>
          <w:sz w:val="22"/>
        </w:rPr>
        <w:t xml:space="preserve"> </w:t>
      </w:r>
      <w:r w:rsidRPr="00F92FE0">
        <w:rPr>
          <w:sz w:val="22"/>
        </w:rPr>
        <w:t>In this way, the individuals responsible for firm compliance and conduct are not hindered in their ability to raise important issues to the highest levels of the firm.</w:t>
      </w:r>
    </w:p>
    <w:p w:rsidR="00D17C1E" w:rsidRDefault="00D17C1E">
      <w:pPr>
        <w:spacing w:after="200" w:line="276" w:lineRule="auto"/>
        <w:rPr>
          <w:b/>
          <w:sz w:val="22"/>
        </w:rPr>
      </w:pPr>
    </w:p>
    <w:p w:rsidR="00F92FE0" w:rsidRPr="00F92FE0" w:rsidRDefault="00F92FE0" w:rsidP="00F92FE0">
      <w:pPr>
        <w:rPr>
          <w:b/>
          <w:sz w:val="22"/>
        </w:rPr>
      </w:pPr>
      <w:r w:rsidRPr="00F92FE0">
        <w:rPr>
          <w:b/>
          <w:sz w:val="22"/>
        </w:rPr>
        <w:t>Management and supervision – internal controls and risk management</w:t>
      </w:r>
    </w:p>
    <w:p w:rsidR="00F92FE0" w:rsidRPr="00F92FE0" w:rsidRDefault="00F92FE0" w:rsidP="00F92FE0">
      <w:pPr>
        <w:rPr>
          <w:sz w:val="22"/>
        </w:rPr>
      </w:pPr>
      <w:r w:rsidRPr="00F92FE0">
        <w:rPr>
          <w:sz w:val="22"/>
        </w:rPr>
        <w:t xml:space="preserve">The regulatory framework requires all registered firms to have internal controls that take into account the size of the firm, the nature of its business and the types and amount of risks it undertakes. </w:t>
      </w:r>
      <w:r w:rsidR="007416F6">
        <w:rPr>
          <w:sz w:val="22"/>
        </w:rPr>
        <w:t xml:space="preserve"> </w:t>
      </w:r>
      <w:r w:rsidRPr="00F92FE0">
        <w:rPr>
          <w:sz w:val="22"/>
        </w:rPr>
        <w:t xml:space="preserve">The regulatory framework also provides that all relevant information about the business is maintained in a timely, readily accessible way. </w:t>
      </w:r>
      <w:r w:rsidR="007416F6">
        <w:rPr>
          <w:sz w:val="22"/>
        </w:rPr>
        <w:t xml:space="preserve"> </w:t>
      </w:r>
      <w:r w:rsidRPr="00F92FE0">
        <w:rPr>
          <w:sz w:val="22"/>
        </w:rPr>
        <w:t xml:space="preserve">Accordingly, as part of the compliance system described above, all registered firms are required to maintain records to accurately record their business activities, financial affairs and client transactions, and demonstrate compliance with securities legislation. </w:t>
      </w:r>
      <w:r w:rsidR="007416F6">
        <w:rPr>
          <w:sz w:val="22"/>
        </w:rPr>
        <w:t xml:space="preserve"> </w:t>
      </w:r>
      <w:r w:rsidRPr="00F92FE0">
        <w:rPr>
          <w:sz w:val="22"/>
        </w:rPr>
        <w:t>The specific records that are required to be maintained are outlined below.</w:t>
      </w:r>
    </w:p>
    <w:p w:rsidR="00F92FE0" w:rsidRPr="00F92FE0" w:rsidRDefault="00F92FE0" w:rsidP="00F92FE0">
      <w:pPr>
        <w:rPr>
          <w:sz w:val="22"/>
        </w:rPr>
      </w:pPr>
    </w:p>
    <w:p w:rsidR="00F92FE0" w:rsidRPr="00F92FE0" w:rsidRDefault="00F92FE0" w:rsidP="00F92FE0">
      <w:pPr>
        <w:rPr>
          <w:sz w:val="22"/>
        </w:rPr>
      </w:pPr>
      <w:r w:rsidRPr="00F92FE0">
        <w:rPr>
          <w:b/>
          <w:i/>
          <w:sz w:val="22"/>
        </w:rPr>
        <w:t>Internal controls</w:t>
      </w:r>
    </w:p>
    <w:p w:rsidR="00F92FE0" w:rsidRPr="00F92FE0" w:rsidRDefault="00F92FE0" w:rsidP="00F92FE0">
      <w:pPr>
        <w:rPr>
          <w:sz w:val="22"/>
        </w:rPr>
      </w:pPr>
      <w:r w:rsidRPr="00F92FE0">
        <w:rPr>
          <w:sz w:val="22"/>
        </w:rPr>
        <w:t>Records are required to do the following:</w:t>
      </w:r>
    </w:p>
    <w:p w:rsidR="00F92FE0" w:rsidRPr="00F92FE0" w:rsidRDefault="00F92FE0" w:rsidP="00F92FE0">
      <w:pPr>
        <w:numPr>
          <w:ilvl w:val="0"/>
          <w:numId w:val="51"/>
        </w:numPr>
        <w:rPr>
          <w:sz w:val="22"/>
        </w:rPr>
      </w:pPr>
      <w:r w:rsidRPr="00F92FE0">
        <w:rPr>
          <w:sz w:val="22"/>
        </w:rPr>
        <w:t>demonstrate compliance with internal control procedures</w:t>
      </w:r>
    </w:p>
    <w:p w:rsidR="00F92FE0" w:rsidRPr="00F92FE0" w:rsidRDefault="00F92FE0" w:rsidP="00F92FE0">
      <w:pPr>
        <w:numPr>
          <w:ilvl w:val="0"/>
          <w:numId w:val="51"/>
        </w:numPr>
        <w:rPr>
          <w:sz w:val="22"/>
        </w:rPr>
      </w:pPr>
      <w:r w:rsidRPr="00F92FE0">
        <w:rPr>
          <w:sz w:val="22"/>
        </w:rPr>
        <w:t>demonstrate compliance with the firm’s policies and procedures</w:t>
      </w:r>
    </w:p>
    <w:p w:rsidR="00F92FE0" w:rsidRPr="00F92FE0" w:rsidRDefault="00F92FE0" w:rsidP="00F92FE0">
      <w:pPr>
        <w:numPr>
          <w:ilvl w:val="0"/>
          <w:numId w:val="51"/>
        </w:numPr>
        <w:rPr>
          <w:sz w:val="22"/>
        </w:rPr>
      </w:pPr>
      <w:r w:rsidRPr="00F92FE0">
        <w:rPr>
          <w:sz w:val="22"/>
        </w:rPr>
        <w:t>permit the identification and segregation of client cash, securities, and other property</w:t>
      </w:r>
    </w:p>
    <w:p w:rsidR="00F92FE0" w:rsidRPr="00F92FE0" w:rsidRDefault="00F92FE0" w:rsidP="00F92FE0">
      <w:pPr>
        <w:numPr>
          <w:ilvl w:val="0"/>
          <w:numId w:val="51"/>
        </w:numPr>
        <w:rPr>
          <w:sz w:val="22"/>
        </w:rPr>
      </w:pPr>
      <w:r w:rsidRPr="00F92FE0">
        <w:rPr>
          <w:sz w:val="22"/>
        </w:rPr>
        <w:t>provide securities pricing as may be required by securities legislation, and</w:t>
      </w:r>
    </w:p>
    <w:p w:rsidR="00F92FE0" w:rsidRPr="00F92FE0" w:rsidRDefault="00F92FE0" w:rsidP="00F92FE0">
      <w:pPr>
        <w:numPr>
          <w:ilvl w:val="0"/>
          <w:numId w:val="51"/>
        </w:numPr>
        <w:rPr>
          <w:sz w:val="22"/>
        </w:rPr>
      </w:pPr>
      <w:proofErr w:type="gramStart"/>
      <w:r w:rsidRPr="00F92FE0">
        <w:rPr>
          <w:sz w:val="22"/>
        </w:rPr>
        <w:t>document</w:t>
      </w:r>
      <w:proofErr w:type="gramEnd"/>
      <w:r w:rsidRPr="00F92FE0">
        <w:rPr>
          <w:sz w:val="22"/>
        </w:rPr>
        <w:t xml:space="preserve"> compliance and supervision actions taken by the firm.</w:t>
      </w:r>
    </w:p>
    <w:p w:rsidR="00F92FE0" w:rsidRPr="00F92FE0" w:rsidRDefault="00F92FE0" w:rsidP="00F92FE0">
      <w:pPr>
        <w:rPr>
          <w:sz w:val="22"/>
        </w:rPr>
      </w:pPr>
    </w:p>
    <w:p w:rsidR="00F92FE0" w:rsidRPr="00F92FE0" w:rsidRDefault="00F92FE0" w:rsidP="00F92FE0">
      <w:pPr>
        <w:rPr>
          <w:sz w:val="22"/>
        </w:rPr>
      </w:pPr>
      <w:r w:rsidRPr="00F92FE0">
        <w:rPr>
          <w:b/>
          <w:i/>
          <w:sz w:val="22"/>
        </w:rPr>
        <w:t>Financial affairs - solvency</w:t>
      </w:r>
    </w:p>
    <w:p w:rsidR="00F92FE0" w:rsidRPr="00F92FE0" w:rsidRDefault="00F92FE0" w:rsidP="00F92FE0">
      <w:pPr>
        <w:rPr>
          <w:sz w:val="22"/>
        </w:rPr>
      </w:pPr>
      <w:r w:rsidRPr="00F92FE0">
        <w:rPr>
          <w:sz w:val="22"/>
        </w:rPr>
        <w:t>Records are required to do the following:</w:t>
      </w:r>
    </w:p>
    <w:p w:rsidR="00F92FE0" w:rsidRPr="00F92FE0" w:rsidRDefault="00F92FE0" w:rsidP="00F92FE0">
      <w:pPr>
        <w:numPr>
          <w:ilvl w:val="0"/>
          <w:numId w:val="52"/>
        </w:numPr>
        <w:rPr>
          <w:sz w:val="22"/>
        </w:rPr>
      </w:pPr>
      <w:r w:rsidRPr="00F92FE0">
        <w:rPr>
          <w:sz w:val="22"/>
        </w:rPr>
        <w:t>permit timely creation and audit of financial statements and other financial information required to be filed or delivered to the regulator</w:t>
      </w:r>
    </w:p>
    <w:p w:rsidR="00F92FE0" w:rsidRPr="00F92FE0" w:rsidRDefault="00F92FE0" w:rsidP="00F92FE0">
      <w:pPr>
        <w:numPr>
          <w:ilvl w:val="0"/>
          <w:numId w:val="52"/>
        </w:numPr>
        <w:rPr>
          <w:sz w:val="22"/>
        </w:rPr>
      </w:pPr>
      <w:r w:rsidRPr="00F92FE0">
        <w:rPr>
          <w:sz w:val="22"/>
        </w:rPr>
        <w:t>permit determination of the registered firm’s capital position, and</w:t>
      </w:r>
    </w:p>
    <w:p w:rsidR="00F92FE0" w:rsidRPr="00F92FE0" w:rsidRDefault="00F92FE0" w:rsidP="00F92FE0">
      <w:pPr>
        <w:numPr>
          <w:ilvl w:val="0"/>
          <w:numId w:val="52"/>
        </w:numPr>
        <w:rPr>
          <w:sz w:val="22"/>
        </w:rPr>
      </w:pPr>
      <w:proofErr w:type="gramStart"/>
      <w:r w:rsidRPr="00F92FE0">
        <w:rPr>
          <w:sz w:val="22"/>
        </w:rPr>
        <w:t>demonstrate</w:t>
      </w:r>
      <w:proofErr w:type="gramEnd"/>
      <w:r w:rsidRPr="00F92FE0">
        <w:rPr>
          <w:sz w:val="22"/>
        </w:rPr>
        <w:t xml:space="preserve"> compliance with the registered firm’s capital and insurance requirements to ensure the continued viability of the firm’s business operations.</w:t>
      </w:r>
    </w:p>
    <w:p w:rsidR="00F92FE0" w:rsidRPr="00F92FE0" w:rsidRDefault="00F92FE0" w:rsidP="00F92FE0">
      <w:pPr>
        <w:rPr>
          <w:sz w:val="22"/>
        </w:rPr>
      </w:pPr>
    </w:p>
    <w:p w:rsidR="00F92FE0" w:rsidRPr="00F92FE0" w:rsidRDefault="00F92FE0" w:rsidP="00F92FE0">
      <w:pPr>
        <w:rPr>
          <w:sz w:val="22"/>
        </w:rPr>
      </w:pPr>
      <w:r w:rsidRPr="00F92FE0">
        <w:rPr>
          <w:b/>
          <w:i/>
          <w:sz w:val="22"/>
        </w:rPr>
        <w:t>Client transactions</w:t>
      </w:r>
    </w:p>
    <w:p w:rsidR="00F92FE0" w:rsidRPr="00F92FE0" w:rsidRDefault="00F92FE0" w:rsidP="00F92FE0">
      <w:pPr>
        <w:rPr>
          <w:sz w:val="22"/>
        </w:rPr>
      </w:pPr>
      <w:r w:rsidRPr="00F92FE0">
        <w:rPr>
          <w:sz w:val="22"/>
        </w:rPr>
        <w:t>Records are required to do the following:</w:t>
      </w:r>
    </w:p>
    <w:p w:rsidR="00F92FE0" w:rsidRPr="00F92FE0" w:rsidRDefault="00F92FE0" w:rsidP="00F92FE0">
      <w:pPr>
        <w:numPr>
          <w:ilvl w:val="0"/>
          <w:numId w:val="53"/>
        </w:numPr>
        <w:rPr>
          <w:sz w:val="22"/>
        </w:rPr>
      </w:pPr>
      <w:r w:rsidRPr="00F92FE0">
        <w:rPr>
          <w:sz w:val="22"/>
        </w:rPr>
        <w:t>identify all transactions conducted on behalf of the registered firm and each of its clients, including the parties to the transaction and the terms of the purchase or sale</w:t>
      </w:r>
    </w:p>
    <w:p w:rsidR="00F92FE0" w:rsidRPr="00F92FE0" w:rsidRDefault="00F92FE0" w:rsidP="00F92FE0">
      <w:pPr>
        <w:numPr>
          <w:ilvl w:val="0"/>
          <w:numId w:val="53"/>
        </w:numPr>
        <w:rPr>
          <w:sz w:val="22"/>
        </w:rPr>
      </w:pPr>
      <w:r w:rsidRPr="00F92FE0">
        <w:rPr>
          <w:sz w:val="22"/>
        </w:rPr>
        <w:t>provide an audit trail for client instructions and orders, and for each trade transmitted or executed for a client or by the registered firm on its own behalf</w:t>
      </w:r>
    </w:p>
    <w:p w:rsidR="00F92FE0" w:rsidRPr="00F92FE0" w:rsidRDefault="00F92FE0" w:rsidP="00F92FE0">
      <w:pPr>
        <w:numPr>
          <w:ilvl w:val="0"/>
          <w:numId w:val="53"/>
        </w:numPr>
        <w:rPr>
          <w:sz w:val="22"/>
        </w:rPr>
      </w:pPr>
      <w:r w:rsidRPr="00F92FE0">
        <w:rPr>
          <w:sz w:val="22"/>
        </w:rPr>
        <w:lastRenderedPageBreak/>
        <w:t>permit the generation of account activity reports for clients</w:t>
      </w:r>
    </w:p>
    <w:p w:rsidR="00F92FE0" w:rsidRPr="00F92FE0" w:rsidRDefault="00F92FE0" w:rsidP="00F92FE0">
      <w:pPr>
        <w:numPr>
          <w:ilvl w:val="0"/>
          <w:numId w:val="53"/>
        </w:numPr>
        <w:rPr>
          <w:sz w:val="22"/>
        </w:rPr>
      </w:pPr>
      <w:r w:rsidRPr="00F92FE0">
        <w:rPr>
          <w:sz w:val="22"/>
        </w:rPr>
        <w:t>demonstrate compliance with the know your client and suitability requirements in NI 31-103, and</w:t>
      </w:r>
    </w:p>
    <w:p w:rsidR="00F92FE0" w:rsidRPr="00F92FE0" w:rsidRDefault="00F92FE0" w:rsidP="00F92FE0">
      <w:pPr>
        <w:numPr>
          <w:ilvl w:val="0"/>
          <w:numId w:val="53"/>
        </w:numPr>
        <w:rPr>
          <w:sz w:val="22"/>
        </w:rPr>
      </w:pPr>
      <w:proofErr w:type="gramStart"/>
      <w:r w:rsidRPr="00F92FE0">
        <w:rPr>
          <w:sz w:val="22"/>
        </w:rPr>
        <w:t>document</w:t>
      </w:r>
      <w:proofErr w:type="gramEnd"/>
      <w:r w:rsidRPr="00F92FE0">
        <w:rPr>
          <w:sz w:val="22"/>
        </w:rPr>
        <w:t xml:space="preserve"> correspondence with clients.</w:t>
      </w:r>
    </w:p>
    <w:p w:rsidR="00F92FE0" w:rsidRPr="00F92FE0" w:rsidRDefault="00F92FE0" w:rsidP="00F92FE0">
      <w:pPr>
        <w:rPr>
          <w:sz w:val="22"/>
        </w:rPr>
      </w:pPr>
    </w:p>
    <w:p w:rsidR="00F92FE0" w:rsidRPr="00F92FE0" w:rsidRDefault="00F92FE0" w:rsidP="00F92FE0">
      <w:pPr>
        <w:rPr>
          <w:sz w:val="22"/>
        </w:rPr>
      </w:pPr>
      <w:r w:rsidRPr="00F92FE0">
        <w:rPr>
          <w:b/>
          <w:i/>
          <w:sz w:val="22"/>
        </w:rPr>
        <w:t>Client relationships</w:t>
      </w:r>
    </w:p>
    <w:p w:rsidR="00F92FE0" w:rsidRPr="00F92FE0" w:rsidRDefault="00F92FE0" w:rsidP="00F92FE0">
      <w:pPr>
        <w:rPr>
          <w:sz w:val="22"/>
        </w:rPr>
      </w:pPr>
      <w:r w:rsidRPr="00F92FE0">
        <w:rPr>
          <w:sz w:val="22"/>
        </w:rPr>
        <w:t xml:space="preserve">Records are required to document the opening of client accounts, including any agreements with clients and demonstrate compliance with complaint-handling requirements. </w:t>
      </w:r>
      <w:r w:rsidR="007416F6">
        <w:rPr>
          <w:sz w:val="22"/>
        </w:rPr>
        <w:t xml:space="preserve"> </w:t>
      </w:r>
      <w:r w:rsidRPr="00F92FE0">
        <w:rPr>
          <w:sz w:val="22"/>
        </w:rPr>
        <w:t xml:space="preserve">As previously described, the regulatory framework requires all registered firms to </w:t>
      </w:r>
      <w:r w:rsidR="00FD6348">
        <w:rPr>
          <w:sz w:val="22"/>
        </w:rPr>
        <w:t>regularly report to management.</w:t>
      </w:r>
    </w:p>
    <w:p w:rsidR="00F92FE0" w:rsidRPr="00F92FE0" w:rsidRDefault="00F92FE0" w:rsidP="00F92FE0">
      <w:pPr>
        <w:rPr>
          <w:sz w:val="22"/>
        </w:rPr>
      </w:pPr>
    </w:p>
    <w:p w:rsidR="00F92FE0" w:rsidRPr="00F92FE0" w:rsidRDefault="00F92FE0" w:rsidP="00F92FE0">
      <w:pPr>
        <w:rPr>
          <w:sz w:val="22"/>
        </w:rPr>
      </w:pPr>
      <w:r w:rsidRPr="00F92FE0">
        <w:rPr>
          <w:sz w:val="22"/>
        </w:rPr>
        <w:t xml:space="preserve">In addition, all categories of registered firms are required to abide by the form, accessibility and retention of records provisions in NI 31-103 or equivalent local provisions. </w:t>
      </w:r>
    </w:p>
    <w:p w:rsidR="00F92FE0" w:rsidRPr="00F92FE0" w:rsidRDefault="00F92FE0" w:rsidP="00F92FE0">
      <w:pPr>
        <w:rPr>
          <w:sz w:val="22"/>
        </w:rPr>
      </w:pPr>
    </w:p>
    <w:p w:rsidR="00F92FE0" w:rsidRPr="00F92FE0" w:rsidRDefault="00F92FE0" w:rsidP="00F92FE0">
      <w:pPr>
        <w:rPr>
          <w:sz w:val="22"/>
        </w:rPr>
      </w:pPr>
      <w:r w:rsidRPr="00F92FE0">
        <w:rPr>
          <w:sz w:val="22"/>
        </w:rPr>
        <w:t>Specifically, any record required to be kept by a registered firm under securities legislation must be kept:</w:t>
      </w:r>
    </w:p>
    <w:p w:rsidR="00F92FE0" w:rsidRPr="00F92FE0" w:rsidRDefault="00F92FE0" w:rsidP="00F92FE0">
      <w:pPr>
        <w:numPr>
          <w:ilvl w:val="0"/>
          <w:numId w:val="54"/>
        </w:numPr>
        <w:rPr>
          <w:sz w:val="22"/>
        </w:rPr>
      </w:pPr>
      <w:r w:rsidRPr="00F92FE0">
        <w:rPr>
          <w:sz w:val="22"/>
        </w:rPr>
        <w:t>for 7 years from the date the record is created</w:t>
      </w:r>
    </w:p>
    <w:p w:rsidR="00F92FE0" w:rsidRPr="00F92FE0" w:rsidRDefault="00F92FE0" w:rsidP="00F92FE0">
      <w:pPr>
        <w:numPr>
          <w:ilvl w:val="0"/>
          <w:numId w:val="54"/>
        </w:numPr>
        <w:rPr>
          <w:sz w:val="22"/>
        </w:rPr>
      </w:pPr>
      <w:r w:rsidRPr="00F92FE0">
        <w:rPr>
          <w:sz w:val="22"/>
        </w:rPr>
        <w:t>in a safe location and in a durable form</w:t>
      </w:r>
    </w:p>
    <w:p w:rsidR="00F92FE0" w:rsidRPr="00F92FE0" w:rsidRDefault="00F92FE0" w:rsidP="00F92FE0">
      <w:pPr>
        <w:numPr>
          <w:ilvl w:val="0"/>
          <w:numId w:val="54"/>
        </w:numPr>
        <w:rPr>
          <w:sz w:val="22"/>
        </w:rPr>
      </w:pPr>
      <w:r w:rsidRPr="00F92FE0">
        <w:rPr>
          <w:sz w:val="22"/>
        </w:rPr>
        <w:t>in a manner that permits it to be provided to the regulator in a reasonable period of time, and</w:t>
      </w:r>
    </w:p>
    <w:p w:rsidR="00F92FE0" w:rsidRPr="00F92FE0" w:rsidRDefault="00F92FE0" w:rsidP="00F92FE0">
      <w:pPr>
        <w:numPr>
          <w:ilvl w:val="0"/>
          <w:numId w:val="54"/>
        </w:numPr>
        <w:rPr>
          <w:sz w:val="22"/>
        </w:rPr>
      </w:pPr>
      <w:proofErr w:type="gramStart"/>
      <w:r w:rsidRPr="00F92FE0">
        <w:rPr>
          <w:sz w:val="22"/>
        </w:rPr>
        <w:t>when</w:t>
      </w:r>
      <w:proofErr w:type="gramEnd"/>
      <w:r w:rsidRPr="00F92FE0">
        <w:rPr>
          <w:sz w:val="22"/>
        </w:rPr>
        <w:t xml:space="preserve"> required to be provided to the regulator, the record must be provided in a format that is capable of being read by the regulator.</w:t>
      </w:r>
    </w:p>
    <w:p w:rsidR="00F92FE0" w:rsidRDefault="00F92FE0" w:rsidP="00B31031">
      <w:pPr>
        <w:rPr>
          <w:sz w:val="22"/>
        </w:rPr>
      </w:pPr>
    </w:p>
    <w:p w:rsidR="00560587" w:rsidRPr="00560587" w:rsidRDefault="00560587" w:rsidP="00560587">
      <w:pPr>
        <w:rPr>
          <w:b/>
          <w:sz w:val="22"/>
        </w:rPr>
      </w:pPr>
      <w:r w:rsidRPr="00560587">
        <w:rPr>
          <w:b/>
          <w:sz w:val="22"/>
        </w:rPr>
        <w:t>Minimum capital</w:t>
      </w:r>
    </w:p>
    <w:p w:rsidR="00560587" w:rsidRPr="00560587" w:rsidRDefault="00560587" w:rsidP="00560587">
      <w:pPr>
        <w:rPr>
          <w:sz w:val="22"/>
        </w:rPr>
      </w:pPr>
      <w:r w:rsidRPr="00560587">
        <w:rPr>
          <w:sz w:val="22"/>
        </w:rPr>
        <w:t xml:space="preserve">Part 12 of NI 31-103 imposes a minimum capital requirement </w:t>
      </w:r>
      <w:r w:rsidR="00202B20" w:rsidRPr="00560587">
        <w:rPr>
          <w:sz w:val="22"/>
        </w:rPr>
        <w:t xml:space="preserve">all </w:t>
      </w:r>
      <w:r w:rsidR="00202B20">
        <w:rPr>
          <w:sz w:val="22"/>
        </w:rPr>
        <w:t>registered firms</w:t>
      </w:r>
      <w:r w:rsidR="00202B20" w:rsidRPr="00560587">
        <w:rPr>
          <w:sz w:val="22"/>
        </w:rPr>
        <w:t>.</w:t>
      </w:r>
      <w:r w:rsidR="00FD6348">
        <w:rPr>
          <w:sz w:val="22"/>
        </w:rPr>
        <w:t xml:space="preserve"> </w:t>
      </w:r>
      <w:r w:rsidRPr="00560587">
        <w:rPr>
          <w:sz w:val="22"/>
        </w:rPr>
        <w:t xml:space="preserve">The calculation of minimum capital is based on a formula contained in Form 31-103F1 </w:t>
      </w:r>
      <w:r w:rsidRPr="00560587">
        <w:rPr>
          <w:i/>
          <w:sz w:val="22"/>
        </w:rPr>
        <w:t>Calculation of Excess Working Capital</w:t>
      </w:r>
      <w:r w:rsidRPr="00560587">
        <w:rPr>
          <w:sz w:val="22"/>
        </w:rPr>
        <w:t xml:space="preserve"> (</w:t>
      </w:r>
      <w:r w:rsidRPr="00560587">
        <w:rPr>
          <w:b/>
          <w:sz w:val="22"/>
        </w:rPr>
        <w:t>Form 31-103F1</w:t>
      </w:r>
      <w:r w:rsidRPr="00560587">
        <w:rPr>
          <w:sz w:val="22"/>
        </w:rPr>
        <w:t xml:space="preserve">). </w:t>
      </w:r>
    </w:p>
    <w:p w:rsidR="00560587" w:rsidRPr="00560587" w:rsidRDefault="00560587" w:rsidP="00560587">
      <w:pPr>
        <w:rPr>
          <w:sz w:val="22"/>
        </w:rPr>
      </w:pPr>
    </w:p>
    <w:p w:rsidR="00560587" w:rsidRPr="00560587" w:rsidRDefault="00560587" w:rsidP="00560587">
      <w:pPr>
        <w:rPr>
          <w:sz w:val="22"/>
        </w:rPr>
      </w:pPr>
      <w:r w:rsidRPr="00560587">
        <w:rPr>
          <w:sz w:val="22"/>
        </w:rPr>
        <w:t xml:space="preserve">Form 31-103F1 is reviewed on a quarterly and annual basis by the regulator as part of the financial reporting requirements under NI 31-103. </w:t>
      </w:r>
    </w:p>
    <w:p w:rsidR="00560587" w:rsidRPr="00560587" w:rsidRDefault="00560587" w:rsidP="00560587">
      <w:pPr>
        <w:rPr>
          <w:sz w:val="22"/>
        </w:rPr>
      </w:pPr>
    </w:p>
    <w:p w:rsidR="00560587" w:rsidRPr="00560587" w:rsidRDefault="00560587" w:rsidP="00560587">
      <w:pPr>
        <w:rPr>
          <w:sz w:val="22"/>
        </w:rPr>
      </w:pPr>
      <w:r w:rsidRPr="00560587">
        <w:rPr>
          <w:sz w:val="22"/>
        </w:rPr>
        <w:t xml:space="preserve">Subsection 12.1(2) of NI 31-103 requires that the excess working capital of a firm as calculated on Form 31-103F1 must not be less than zero for two consecutive days. </w:t>
      </w:r>
      <w:r w:rsidR="009A594A">
        <w:rPr>
          <w:sz w:val="22"/>
        </w:rPr>
        <w:t xml:space="preserve"> </w:t>
      </w:r>
      <w:r w:rsidRPr="00560587">
        <w:rPr>
          <w:sz w:val="22"/>
        </w:rPr>
        <w:t xml:space="preserve">Firms must notify the regulator of any capital deficiency as soon as possible. The regulator may then recommend the imposition of terms and conditions requiring monthly reporting through unaudited year-to-date financial information and calculations of excess working capital. </w:t>
      </w:r>
    </w:p>
    <w:p w:rsidR="00560587" w:rsidRPr="00560587" w:rsidRDefault="00560587" w:rsidP="00560587">
      <w:pPr>
        <w:rPr>
          <w:b/>
          <w:sz w:val="22"/>
        </w:rPr>
      </w:pPr>
    </w:p>
    <w:p w:rsidR="00560587" w:rsidRPr="00560587" w:rsidRDefault="00D17C1E" w:rsidP="00A97ECC">
      <w:pPr>
        <w:spacing w:after="200" w:line="276" w:lineRule="auto"/>
        <w:rPr>
          <w:b/>
          <w:sz w:val="22"/>
        </w:rPr>
      </w:pPr>
      <w:r>
        <w:rPr>
          <w:b/>
          <w:sz w:val="22"/>
        </w:rPr>
        <w:br w:type="page"/>
      </w:r>
      <w:r w:rsidR="00560587" w:rsidRPr="00560587">
        <w:rPr>
          <w:b/>
          <w:sz w:val="22"/>
        </w:rPr>
        <w:lastRenderedPageBreak/>
        <w:t>Insurance</w:t>
      </w:r>
    </w:p>
    <w:p w:rsidR="00560587" w:rsidRPr="00560587" w:rsidRDefault="00560587" w:rsidP="00560587">
      <w:pPr>
        <w:rPr>
          <w:sz w:val="22"/>
        </w:rPr>
      </w:pPr>
      <w:r w:rsidRPr="00560587">
        <w:rPr>
          <w:sz w:val="22"/>
        </w:rPr>
        <w:t xml:space="preserve">Under part 5.7 of Form 33-109F6 </w:t>
      </w:r>
      <w:r w:rsidRPr="00560587">
        <w:rPr>
          <w:i/>
          <w:sz w:val="22"/>
        </w:rPr>
        <w:t xml:space="preserve">Firm Registration </w:t>
      </w:r>
      <w:r w:rsidRPr="00560587">
        <w:rPr>
          <w:sz w:val="22"/>
        </w:rPr>
        <w:t>(Form 33-109F6)</w:t>
      </w:r>
      <w:r w:rsidRPr="00560587">
        <w:rPr>
          <w:i/>
          <w:sz w:val="22"/>
        </w:rPr>
        <w:t xml:space="preserve">, </w:t>
      </w:r>
      <w:r w:rsidR="009A594A">
        <w:rPr>
          <w:sz w:val="22"/>
        </w:rPr>
        <w:t>a registered firm</w:t>
      </w:r>
      <w:r w:rsidRPr="00560587">
        <w:rPr>
          <w:sz w:val="22"/>
        </w:rPr>
        <w:t xml:space="preserve"> seeking registration must submit, as part of its application, a directors’ resolution confirming that the firm has sufficient insurance coverage for its securities related business. </w:t>
      </w:r>
      <w:r w:rsidR="009A594A">
        <w:rPr>
          <w:sz w:val="22"/>
        </w:rPr>
        <w:t xml:space="preserve"> </w:t>
      </w:r>
      <w:r w:rsidRPr="00560587">
        <w:rPr>
          <w:sz w:val="22"/>
        </w:rPr>
        <w:t xml:space="preserve">NI 31-103 also outlines the insurance requirements for </w:t>
      </w:r>
      <w:r w:rsidR="009A594A">
        <w:rPr>
          <w:sz w:val="22"/>
        </w:rPr>
        <w:t>registered firms</w:t>
      </w:r>
      <w:r w:rsidRPr="00560587">
        <w:rPr>
          <w:sz w:val="22"/>
        </w:rPr>
        <w:t xml:space="preserve">. </w:t>
      </w:r>
      <w:r w:rsidR="009A594A">
        <w:rPr>
          <w:sz w:val="22"/>
        </w:rPr>
        <w:t xml:space="preserve"> </w:t>
      </w:r>
      <w:r w:rsidRPr="00560587">
        <w:rPr>
          <w:sz w:val="22"/>
        </w:rPr>
        <w:t xml:space="preserve">The amount of insurance required is based on calculations that take into account various factors, including the assets under management. </w:t>
      </w:r>
    </w:p>
    <w:p w:rsidR="00560587" w:rsidRDefault="00560587" w:rsidP="00560587">
      <w:pPr>
        <w:rPr>
          <w:sz w:val="22"/>
        </w:rPr>
      </w:pPr>
    </w:p>
    <w:p w:rsidR="005A3A53" w:rsidRPr="00560587" w:rsidRDefault="005A3A53" w:rsidP="00560587">
      <w:pPr>
        <w:rPr>
          <w:sz w:val="22"/>
        </w:rPr>
      </w:pPr>
    </w:p>
    <w:p w:rsidR="00D253C5" w:rsidRPr="00D253C5" w:rsidRDefault="00174C55" w:rsidP="00D253C5">
      <w:pPr>
        <w:rPr>
          <w:b/>
          <w:sz w:val="22"/>
        </w:rPr>
      </w:pPr>
      <w:r w:rsidRPr="00D253C5">
        <w:rPr>
          <w:b/>
          <w:sz w:val="22"/>
        </w:rPr>
        <w:t xml:space="preserve">INDEPENDENT REVIEW COMMITTEE </w:t>
      </w:r>
      <w:r>
        <w:rPr>
          <w:b/>
          <w:sz w:val="22"/>
        </w:rPr>
        <w:t>(IRC)</w:t>
      </w:r>
    </w:p>
    <w:p w:rsidR="004319E4" w:rsidRPr="00B31031" w:rsidRDefault="004319E4" w:rsidP="004319E4">
      <w:pPr>
        <w:rPr>
          <w:sz w:val="22"/>
        </w:rPr>
      </w:pPr>
      <w:r>
        <w:rPr>
          <w:sz w:val="22"/>
        </w:rPr>
        <w:t>A</w:t>
      </w:r>
      <w:r w:rsidRPr="00B31031">
        <w:rPr>
          <w:sz w:val="22"/>
        </w:rPr>
        <w:t xml:space="preserve">n IFM must set up an IRC for all of its publicly offered </w:t>
      </w:r>
      <w:r>
        <w:rPr>
          <w:sz w:val="22"/>
        </w:rPr>
        <w:t>investment funds</w:t>
      </w:r>
      <w:r w:rsidRPr="00B31031">
        <w:rPr>
          <w:sz w:val="22"/>
        </w:rPr>
        <w:t xml:space="preserve"> to deal with all conflict of interest matters. It is the duty of the IFM to identify conflict of interest matters which may pose a risk to acting in the best interest of the </w:t>
      </w:r>
      <w:r>
        <w:rPr>
          <w:sz w:val="22"/>
        </w:rPr>
        <w:t>investment fund</w:t>
      </w:r>
      <w:r w:rsidRPr="00B31031">
        <w:rPr>
          <w:sz w:val="22"/>
        </w:rPr>
        <w:t xml:space="preserve"> and its investors and refer those matters to the IRC on a timely basis for recommendations. </w:t>
      </w:r>
    </w:p>
    <w:p w:rsidR="004319E4" w:rsidRPr="00B31031" w:rsidRDefault="004319E4" w:rsidP="004319E4">
      <w:pPr>
        <w:rPr>
          <w:sz w:val="22"/>
        </w:rPr>
      </w:pPr>
    </w:p>
    <w:p w:rsidR="004319E4" w:rsidRDefault="004319E4" w:rsidP="004319E4">
      <w:pPr>
        <w:rPr>
          <w:sz w:val="22"/>
        </w:rPr>
      </w:pPr>
      <w:r w:rsidRPr="00B31031">
        <w:rPr>
          <w:sz w:val="22"/>
        </w:rPr>
        <w:t xml:space="preserve">As part of the IRC’s ongoing regular assessments, it must review whether the IFM and the </w:t>
      </w:r>
      <w:r>
        <w:rPr>
          <w:sz w:val="22"/>
        </w:rPr>
        <w:t>investment fund</w:t>
      </w:r>
      <w:r w:rsidRPr="00B31031">
        <w:rPr>
          <w:sz w:val="22"/>
        </w:rPr>
        <w:t xml:space="preserve"> complied with any conditions imposed by the IRC in a recommendation or approval provided to the IFM. </w:t>
      </w:r>
      <w:r>
        <w:rPr>
          <w:sz w:val="22"/>
        </w:rPr>
        <w:t xml:space="preserve"> </w:t>
      </w:r>
      <w:r w:rsidRPr="00B31031">
        <w:rPr>
          <w:sz w:val="22"/>
        </w:rPr>
        <w:t>Any non-compliance identified by the IRC must be reported to the regulator in writing as soon as practicable.</w:t>
      </w:r>
    </w:p>
    <w:p w:rsidR="004319E4" w:rsidRPr="00B31031" w:rsidRDefault="004319E4" w:rsidP="004319E4">
      <w:pPr>
        <w:rPr>
          <w:sz w:val="22"/>
        </w:rPr>
      </w:pPr>
    </w:p>
    <w:p w:rsidR="00D253C5" w:rsidRPr="00D253C5" w:rsidRDefault="00D253C5" w:rsidP="00D253C5">
      <w:pPr>
        <w:rPr>
          <w:sz w:val="22"/>
        </w:rPr>
      </w:pPr>
      <w:r w:rsidRPr="00D253C5">
        <w:rPr>
          <w:sz w:val="22"/>
        </w:rPr>
        <w:t>NI 81-107 is intended to bring an independent perspective to bear on decisions of an IFM that may involve or be perceived to involve a conflict of interest with its statutory standard of care. The requirements under NI 81-107 include the following:</w:t>
      </w:r>
    </w:p>
    <w:p w:rsidR="00D253C5" w:rsidRPr="00D253C5" w:rsidRDefault="00D253C5" w:rsidP="00D253C5">
      <w:pPr>
        <w:numPr>
          <w:ilvl w:val="0"/>
          <w:numId w:val="36"/>
        </w:numPr>
        <w:rPr>
          <w:sz w:val="22"/>
        </w:rPr>
      </w:pPr>
      <w:r w:rsidRPr="00D253C5">
        <w:rPr>
          <w:sz w:val="22"/>
        </w:rPr>
        <w:t xml:space="preserve">an IFM must set up an independent review committee (IRC) for each of its conventional and non-conventional </w:t>
      </w:r>
      <w:r>
        <w:rPr>
          <w:sz w:val="22"/>
        </w:rPr>
        <w:t>investment funds</w:t>
      </w:r>
    </w:p>
    <w:p w:rsidR="00D253C5" w:rsidRPr="00D253C5" w:rsidRDefault="00D253C5" w:rsidP="00D253C5">
      <w:pPr>
        <w:numPr>
          <w:ilvl w:val="0"/>
          <w:numId w:val="36"/>
        </w:numPr>
        <w:rPr>
          <w:sz w:val="22"/>
        </w:rPr>
      </w:pPr>
      <w:r w:rsidRPr="00D253C5">
        <w:rPr>
          <w:sz w:val="22"/>
        </w:rPr>
        <w:t>an IFM must establish written policies and procedures on conflict of interest matters before referring a conflict of interest matter to an IRC</w:t>
      </w:r>
    </w:p>
    <w:p w:rsidR="00D253C5" w:rsidRPr="00D253C5" w:rsidRDefault="00D253C5" w:rsidP="00D253C5">
      <w:pPr>
        <w:numPr>
          <w:ilvl w:val="0"/>
          <w:numId w:val="36"/>
        </w:numPr>
        <w:rPr>
          <w:sz w:val="22"/>
        </w:rPr>
      </w:pPr>
      <w:r w:rsidRPr="00D253C5">
        <w:rPr>
          <w:sz w:val="22"/>
        </w:rPr>
        <w:t xml:space="preserve">the IRC is charged with reviewing conflicts of interest that may arise between the interests of an IFM and its duty to manage </w:t>
      </w:r>
      <w:r>
        <w:rPr>
          <w:sz w:val="22"/>
        </w:rPr>
        <w:t>an investment fund</w:t>
      </w:r>
      <w:r w:rsidRPr="00D253C5">
        <w:rPr>
          <w:sz w:val="22"/>
        </w:rPr>
        <w:t xml:space="preserve"> in the best interests of the </w:t>
      </w:r>
      <w:r>
        <w:rPr>
          <w:sz w:val="22"/>
        </w:rPr>
        <w:t>investment fund</w:t>
      </w:r>
      <w:r w:rsidRPr="00D253C5">
        <w:rPr>
          <w:sz w:val="22"/>
        </w:rPr>
        <w:t xml:space="preserve"> </w:t>
      </w:r>
    </w:p>
    <w:p w:rsidR="00D253C5" w:rsidRPr="00D253C5" w:rsidRDefault="00D253C5" w:rsidP="00D253C5">
      <w:pPr>
        <w:numPr>
          <w:ilvl w:val="0"/>
          <w:numId w:val="36"/>
        </w:numPr>
        <w:rPr>
          <w:sz w:val="22"/>
        </w:rPr>
      </w:pPr>
      <w:r w:rsidRPr="00D253C5">
        <w:rPr>
          <w:sz w:val="22"/>
        </w:rPr>
        <w:t>the IRC must be made up of at least three members that are independent of the investment fund, its IFM or an entity related to the IFM, and</w:t>
      </w:r>
    </w:p>
    <w:p w:rsidR="00D253C5" w:rsidRPr="00D253C5" w:rsidRDefault="00D253C5" w:rsidP="00D253C5">
      <w:pPr>
        <w:numPr>
          <w:ilvl w:val="0"/>
          <w:numId w:val="36"/>
        </w:numPr>
        <w:rPr>
          <w:sz w:val="22"/>
        </w:rPr>
      </w:pPr>
      <w:r w:rsidRPr="00D253C5">
        <w:rPr>
          <w:sz w:val="22"/>
        </w:rPr>
        <w:t xml:space="preserve">the IRC must perform regular assessments of the adequacy and effectiveness of the IFM’s policies and procedures, any standing instructions it has provided to the IFM and the IFMs’ and the </w:t>
      </w:r>
      <w:r>
        <w:rPr>
          <w:sz w:val="22"/>
        </w:rPr>
        <w:t>investment fund</w:t>
      </w:r>
      <w:r w:rsidRPr="00D253C5">
        <w:rPr>
          <w:sz w:val="22"/>
        </w:rPr>
        <w:t>’ compliance with any conditions imposed on them by the IRC in a recommendation or approval of a conflict of interest matter.</w:t>
      </w:r>
    </w:p>
    <w:p w:rsidR="000F4C55" w:rsidRDefault="000F4C55">
      <w:pPr>
        <w:rPr>
          <w:sz w:val="22"/>
        </w:rPr>
      </w:pPr>
    </w:p>
    <w:p w:rsidR="00F101C2" w:rsidRDefault="00F101C2">
      <w:pPr>
        <w:spacing w:after="200" w:line="276" w:lineRule="auto"/>
        <w:rPr>
          <w:b/>
          <w:bCs/>
          <w:sz w:val="22"/>
          <w:lang w:val="en-US"/>
        </w:rPr>
      </w:pPr>
      <w:r>
        <w:rPr>
          <w:b/>
          <w:bCs/>
          <w:sz w:val="22"/>
          <w:lang w:val="en-US"/>
        </w:rPr>
        <w:lastRenderedPageBreak/>
        <w:br w:type="page"/>
      </w:r>
    </w:p>
    <w:p w:rsidR="001561E3" w:rsidRPr="001561E3" w:rsidRDefault="001561E3" w:rsidP="001561E3">
      <w:pPr>
        <w:rPr>
          <w:sz w:val="22"/>
          <w:lang w:val="en-US"/>
        </w:rPr>
      </w:pPr>
      <w:r w:rsidRPr="001561E3">
        <w:rPr>
          <w:b/>
          <w:bCs/>
          <w:sz w:val="22"/>
          <w:lang w:val="en-US"/>
        </w:rPr>
        <w:lastRenderedPageBreak/>
        <w:t>CUSTODIANS</w:t>
      </w:r>
    </w:p>
    <w:p w:rsidR="00B10974" w:rsidRDefault="00B10974" w:rsidP="001561E3">
      <w:pPr>
        <w:rPr>
          <w:b/>
          <w:sz w:val="22"/>
          <w:lang w:val="en-US"/>
        </w:rPr>
      </w:pPr>
    </w:p>
    <w:p w:rsidR="00B10974" w:rsidRPr="00B10974" w:rsidRDefault="00B10974" w:rsidP="001561E3">
      <w:pPr>
        <w:rPr>
          <w:b/>
          <w:sz w:val="22"/>
          <w:lang w:val="en-US"/>
        </w:rPr>
      </w:pPr>
      <w:r w:rsidRPr="00B10974">
        <w:rPr>
          <w:b/>
          <w:sz w:val="22"/>
          <w:lang w:val="en-US"/>
        </w:rPr>
        <w:t>Requirements under NI 31-103</w:t>
      </w:r>
    </w:p>
    <w:p w:rsidR="001561E3" w:rsidRPr="00CC0487" w:rsidRDefault="00F101C2" w:rsidP="001561E3">
      <w:pPr>
        <w:rPr>
          <w:bCs/>
          <w:sz w:val="22"/>
          <w:lang w:val="en-US"/>
        </w:rPr>
      </w:pPr>
      <w:r w:rsidRPr="00F101C2">
        <w:rPr>
          <w:bCs/>
          <w:sz w:val="22"/>
          <w:lang w:val="en-US"/>
        </w:rPr>
        <w:t xml:space="preserve">Section 14.6 of NI 31-103 requires </w:t>
      </w:r>
      <w:r>
        <w:rPr>
          <w:bCs/>
          <w:sz w:val="22"/>
          <w:lang w:val="en-US"/>
        </w:rPr>
        <w:t>a registered firm (dealer, adviser and IFM)</w:t>
      </w:r>
      <w:r w:rsidRPr="00F101C2">
        <w:rPr>
          <w:bCs/>
          <w:sz w:val="22"/>
          <w:lang w:val="en-US"/>
        </w:rPr>
        <w:t xml:space="preserve"> to hold all client assets separate and apart from </w:t>
      </w:r>
      <w:r>
        <w:rPr>
          <w:bCs/>
          <w:sz w:val="22"/>
          <w:lang w:val="en-US"/>
        </w:rPr>
        <w:t>the firm’s</w:t>
      </w:r>
      <w:r w:rsidRPr="00F101C2">
        <w:rPr>
          <w:bCs/>
          <w:sz w:val="22"/>
          <w:lang w:val="en-US"/>
        </w:rPr>
        <w:t xml:space="preserve"> property, in trust for the client and, in the case of cash, in a designated trust account at a Canadian financial institution, a Schedule III bank or a member of IIROC. </w:t>
      </w:r>
      <w:r w:rsidR="00505276">
        <w:rPr>
          <w:bCs/>
          <w:sz w:val="22"/>
          <w:lang w:val="en-US"/>
        </w:rPr>
        <w:t xml:space="preserve"> </w:t>
      </w:r>
      <w:r>
        <w:rPr>
          <w:bCs/>
          <w:sz w:val="22"/>
          <w:lang w:val="en-US"/>
        </w:rPr>
        <w:t>A registered firm</w:t>
      </w:r>
      <w:r w:rsidRPr="00F101C2">
        <w:rPr>
          <w:bCs/>
          <w:sz w:val="22"/>
          <w:lang w:val="en-US"/>
        </w:rPr>
        <w:t xml:space="preserve"> cannot commingle client money with </w:t>
      </w:r>
      <w:r>
        <w:rPr>
          <w:bCs/>
          <w:sz w:val="22"/>
          <w:lang w:val="en-US"/>
        </w:rPr>
        <w:t>the</w:t>
      </w:r>
      <w:r w:rsidRPr="00F101C2">
        <w:rPr>
          <w:bCs/>
          <w:sz w:val="22"/>
          <w:lang w:val="en-US"/>
        </w:rPr>
        <w:t xml:space="preserve"> firm’s property.</w:t>
      </w:r>
    </w:p>
    <w:p w:rsidR="00CC0487" w:rsidRDefault="00CC0487" w:rsidP="001561E3">
      <w:pPr>
        <w:rPr>
          <w:bCs/>
          <w:sz w:val="22"/>
          <w:lang w:val="en-US"/>
        </w:rPr>
      </w:pPr>
    </w:p>
    <w:p w:rsidR="00505276" w:rsidRPr="00505276" w:rsidRDefault="00254BC6" w:rsidP="00505276">
      <w:pPr>
        <w:rPr>
          <w:bCs/>
          <w:sz w:val="22"/>
        </w:rPr>
      </w:pPr>
      <w:r>
        <w:rPr>
          <w:bCs/>
          <w:sz w:val="22"/>
          <w:lang w:val="en-US"/>
        </w:rPr>
        <w:t xml:space="preserve">Under </w:t>
      </w:r>
      <w:r w:rsidRPr="00254BC6">
        <w:rPr>
          <w:bCs/>
          <w:sz w:val="22"/>
          <w:lang w:val="en-US"/>
        </w:rPr>
        <w:t>S</w:t>
      </w:r>
      <w:r>
        <w:rPr>
          <w:bCs/>
          <w:sz w:val="22"/>
          <w:lang w:val="en-US"/>
        </w:rPr>
        <w:t>ubsection 14.7(1)</w:t>
      </w:r>
      <w:r w:rsidRPr="00254BC6">
        <w:rPr>
          <w:bCs/>
          <w:sz w:val="22"/>
          <w:lang w:val="en-US"/>
        </w:rPr>
        <w:t xml:space="preserve"> of NI 31-103</w:t>
      </w:r>
      <w:r>
        <w:rPr>
          <w:bCs/>
          <w:sz w:val="22"/>
          <w:lang w:val="en-US"/>
        </w:rPr>
        <w:t xml:space="preserve">, </w:t>
      </w:r>
      <w:r>
        <w:rPr>
          <w:bCs/>
          <w:sz w:val="22"/>
        </w:rPr>
        <w:t>a</w:t>
      </w:r>
      <w:r w:rsidR="00505276" w:rsidRPr="00505276">
        <w:rPr>
          <w:bCs/>
          <w:sz w:val="22"/>
        </w:rPr>
        <w:t xml:space="preserve"> registered firm whose head office i</w:t>
      </w:r>
      <w:r>
        <w:rPr>
          <w:bCs/>
          <w:sz w:val="22"/>
        </w:rPr>
        <w:t xml:space="preserve">s </w:t>
      </w:r>
      <w:r w:rsidR="00505276" w:rsidRPr="00505276">
        <w:rPr>
          <w:bCs/>
          <w:sz w:val="22"/>
        </w:rPr>
        <w:t>not located in a jurisdiction of Canada must ensure that all client assets are held</w:t>
      </w:r>
    </w:p>
    <w:p w:rsidR="00505276" w:rsidRPr="00505276" w:rsidRDefault="00505276" w:rsidP="00505276">
      <w:pPr>
        <w:rPr>
          <w:bCs/>
          <w:sz w:val="22"/>
        </w:rPr>
      </w:pPr>
      <w:r w:rsidRPr="00505276">
        <w:rPr>
          <w:bCs/>
          <w:sz w:val="22"/>
        </w:rPr>
        <w:t xml:space="preserve">(a) </w:t>
      </w:r>
      <w:proofErr w:type="gramStart"/>
      <w:r w:rsidRPr="00505276">
        <w:rPr>
          <w:bCs/>
          <w:sz w:val="22"/>
        </w:rPr>
        <w:t>in</w:t>
      </w:r>
      <w:proofErr w:type="gramEnd"/>
      <w:r w:rsidRPr="00505276">
        <w:rPr>
          <w:bCs/>
          <w:sz w:val="22"/>
        </w:rPr>
        <w:t xml:space="preserve"> the client’s name,</w:t>
      </w:r>
    </w:p>
    <w:p w:rsidR="00505276" w:rsidRPr="00505276" w:rsidRDefault="00505276" w:rsidP="00505276">
      <w:pPr>
        <w:rPr>
          <w:bCs/>
          <w:sz w:val="22"/>
        </w:rPr>
      </w:pPr>
      <w:r w:rsidRPr="00505276">
        <w:rPr>
          <w:bCs/>
          <w:sz w:val="22"/>
        </w:rPr>
        <w:t xml:space="preserve">(b) </w:t>
      </w:r>
      <w:proofErr w:type="gramStart"/>
      <w:r w:rsidRPr="00505276">
        <w:rPr>
          <w:bCs/>
          <w:sz w:val="22"/>
        </w:rPr>
        <w:t>on</w:t>
      </w:r>
      <w:proofErr w:type="gramEnd"/>
      <w:r w:rsidRPr="00505276">
        <w:rPr>
          <w:bCs/>
          <w:sz w:val="22"/>
        </w:rPr>
        <w:t xml:space="preserve"> behalf of the client by a custodian or sub-custodian that</w:t>
      </w:r>
    </w:p>
    <w:p w:rsidR="00505276" w:rsidRPr="00505276" w:rsidRDefault="00505276" w:rsidP="00857EE6">
      <w:pPr>
        <w:ind w:left="450"/>
        <w:rPr>
          <w:bCs/>
          <w:sz w:val="22"/>
        </w:rPr>
      </w:pPr>
      <w:r w:rsidRPr="00505276">
        <w:rPr>
          <w:bCs/>
          <w:sz w:val="22"/>
        </w:rPr>
        <w:t>(</w:t>
      </w:r>
      <w:proofErr w:type="spellStart"/>
      <w:r w:rsidRPr="00505276">
        <w:rPr>
          <w:bCs/>
          <w:sz w:val="22"/>
        </w:rPr>
        <w:t>i</w:t>
      </w:r>
      <w:proofErr w:type="spellEnd"/>
      <w:r w:rsidRPr="00505276">
        <w:rPr>
          <w:bCs/>
          <w:sz w:val="22"/>
        </w:rPr>
        <w:t>) meets the guidelines prescribed for acting as a sub-custodian of the portfolio securities of a</w:t>
      </w:r>
      <w:r w:rsidR="00254BC6">
        <w:rPr>
          <w:bCs/>
          <w:sz w:val="22"/>
        </w:rPr>
        <w:t xml:space="preserve"> </w:t>
      </w:r>
      <w:r w:rsidRPr="00505276">
        <w:rPr>
          <w:bCs/>
          <w:sz w:val="22"/>
        </w:rPr>
        <w:t xml:space="preserve">mutual fund in Part 6 of </w:t>
      </w:r>
      <w:r w:rsidR="00254BC6">
        <w:rPr>
          <w:bCs/>
          <w:sz w:val="22"/>
        </w:rPr>
        <w:t>NI</w:t>
      </w:r>
      <w:r w:rsidRPr="00505276">
        <w:rPr>
          <w:bCs/>
          <w:sz w:val="22"/>
        </w:rPr>
        <w:t xml:space="preserve"> 81-102, and</w:t>
      </w:r>
    </w:p>
    <w:p w:rsidR="00505276" w:rsidRPr="00505276" w:rsidRDefault="00505276" w:rsidP="00857EE6">
      <w:pPr>
        <w:ind w:left="450"/>
        <w:rPr>
          <w:bCs/>
          <w:sz w:val="22"/>
        </w:rPr>
      </w:pPr>
      <w:r w:rsidRPr="00505276">
        <w:rPr>
          <w:bCs/>
          <w:sz w:val="22"/>
        </w:rPr>
        <w:t xml:space="preserve">(ii) </w:t>
      </w:r>
      <w:proofErr w:type="gramStart"/>
      <w:r w:rsidRPr="00505276">
        <w:rPr>
          <w:bCs/>
          <w:sz w:val="22"/>
        </w:rPr>
        <w:t>is</w:t>
      </w:r>
      <w:proofErr w:type="gramEnd"/>
      <w:r w:rsidRPr="00505276">
        <w:rPr>
          <w:bCs/>
          <w:sz w:val="22"/>
        </w:rPr>
        <w:t xml:space="preserve"> subject to the Bank for International Settlements’ framework for international convergence</w:t>
      </w:r>
      <w:r w:rsidR="00254BC6">
        <w:rPr>
          <w:bCs/>
          <w:sz w:val="22"/>
        </w:rPr>
        <w:t xml:space="preserve"> </w:t>
      </w:r>
      <w:r w:rsidRPr="00505276">
        <w:rPr>
          <w:bCs/>
          <w:sz w:val="22"/>
        </w:rPr>
        <w:t>of capital measurement and capital standards, or</w:t>
      </w:r>
    </w:p>
    <w:p w:rsidR="00505276" w:rsidRDefault="00505276" w:rsidP="00505276">
      <w:pPr>
        <w:rPr>
          <w:bCs/>
          <w:sz w:val="22"/>
          <w:lang w:val="en-US"/>
        </w:rPr>
      </w:pPr>
      <w:r w:rsidRPr="00505276">
        <w:rPr>
          <w:bCs/>
          <w:sz w:val="22"/>
        </w:rPr>
        <w:t xml:space="preserve">(c) </w:t>
      </w:r>
      <w:proofErr w:type="gramStart"/>
      <w:r w:rsidRPr="00505276">
        <w:rPr>
          <w:bCs/>
          <w:sz w:val="22"/>
        </w:rPr>
        <w:t>on</w:t>
      </w:r>
      <w:proofErr w:type="gramEnd"/>
      <w:r w:rsidRPr="00505276">
        <w:rPr>
          <w:bCs/>
          <w:sz w:val="22"/>
        </w:rPr>
        <w:t xml:space="preserve"> behalf of the client by a registered dealer that is a member of an SRO and that is a member of</w:t>
      </w:r>
      <w:r w:rsidR="00254BC6">
        <w:rPr>
          <w:bCs/>
          <w:sz w:val="22"/>
        </w:rPr>
        <w:t xml:space="preserve"> </w:t>
      </w:r>
      <w:r w:rsidRPr="00505276">
        <w:rPr>
          <w:bCs/>
          <w:sz w:val="22"/>
        </w:rPr>
        <w:t>Canadian Investor Protection Fund or other comparable compensation fund or contingency trust</w:t>
      </w:r>
      <w:r w:rsidR="00254BC6">
        <w:rPr>
          <w:bCs/>
          <w:sz w:val="22"/>
        </w:rPr>
        <w:t xml:space="preserve"> </w:t>
      </w:r>
      <w:r w:rsidRPr="00505276">
        <w:rPr>
          <w:bCs/>
          <w:sz w:val="22"/>
        </w:rPr>
        <w:t>fund.</w:t>
      </w:r>
    </w:p>
    <w:p w:rsidR="00505276" w:rsidRPr="00CC0487" w:rsidRDefault="00505276" w:rsidP="001561E3">
      <w:pPr>
        <w:rPr>
          <w:bCs/>
          <w:sz w:val="22"/>
          <w:lang w:val="en-US"/>
        </w:rPr>
      </w:pPr>
    </w:p>
    <w:p w:rsidR="001561E3" w:rsidRPr="001561E3" w:rsidRDefault="001561E3" w:rsidP="001561E3">
      <w:pPr>
        <w:rPr>
          <w:sz w:val="22"/>
          <w:lang w:val="en-US"/>
        </w:rPr>
      </w:pPr>
      <w:r w:rsidRPr="001561E3">
        <w:rPr>
          <w:b/>
          <w:bCs/>
          <w:sz w:val="22"/>
          <w:lang w:val="en-US"/>
        </w:rPr>
        <w:t xml:space="preserve">Conventional and non-conventional </w:t>
      </w:r>
      <w:r w:rsidR="005C6899">
        <w:rPr>
          <w:b/>
          <w:bCs/>
          <w:sz w:val="22"/>
          <w:lang w:val="en-US"/>
        </w:rPr>
        <w:t>investment funds</w:t>
      </w:r>
    </w:p>
    <w:p w:rsidR="001561E3" w:rsidRPr="001561E3" w:rsidRDefault="001561E3" w:rsidP="00BE30C0">
      <w:pPr>
        <w:rPr>
          <w:sz w:val="22"/>
          <w:lang w:val="en-US"/>
        </w:rPr>
      </w:pPr>
      <w:r w:rsidRPr="001561E3">
        <w:rPr>
          <w:sz w:val="22"/>
          <w:lang w:val="en-US"/>
        </w:rPr>
        <w:t>NI 81-102 and NI 41-101 contain rules relating to custodians</w:t>
      </w:r>
      <w:r w:rsidR="00BE30C0">
        <w:rPr>
          <w:sz w:val="22"/>
          <w:lang w:val="en-US"/>
        </w:rPr>
        <w:t xml:space="preserve"> and sub-custodians</w:t>
      </w:r>
      <w:r w:rsidRPr="001561E3">
        <w:rPr>
          <w:sz w:val="22"/>
          <w:lang w:val="en-US"/>
        </w:rPr>
        <w:t xml:space="preserve">, including the types of entities that </w:t>
      </w:r>
      <w:r w:rsidR="00AD15F7" w:rsidRPr="00AD15F7">
        <w:rPr>
          <w:sz w:val="22"/>
        </w:rPr>
        <w:t>are qualified to</w:t>
      </w:r>
      <w:r w:rsidRPr="001561E3">
        <w:rPr>
          <w:sz w:val="22"/>
          <w:lang w:val="en-US"/>
        </w:rPr>
        <w:t xml:space="preserve"> act as custodians for assets held in Canada and assets held outside Canada. </w:t>
      </w:r>
    </w:p>
    <w:p w:rsidR="00D75534" w:rsidRDefault="00D75534" w:rsidP="00857EE6">
      <w:pPr>
        <w:numPr>
          <w:ilvl w:val="0"/>
          <w:numId w:val="56"/>
        </w:numPr>
        <w:tabs>
          <w:tab w:val="clear" w:pos="720"/>
          <w:tab w:val="num" w:pos="-360"/>
        </w:tabs>
        <w:ind w:left="360"/>
        <w:rPr>
          <w:sz w:val="22"/>
        </w:rPr>
      </w:pPr>
      <w:r w:rsidRPr="00D75534">
        <w:rPr>
          <w:sz w:val="22"/>
        </w:rPr>
        <w:t xml:space="preserve">for assets held in Canada, a custodian </w:t>
      </w:r>
      <w:r w:rsidR="00AD15F7" w:rsidRPr="00AD15F7">
        <w:rPr>
          <w:sz w:val="22"/>
        </w:rPr>
        <w:t>must be</w:t>
      </w:r>
      <w:r w:rsidRPr="00D75534">
        <w:rPr>
          <w:sz w:val="22"/>
        </w:rPr>
        <w:t xml:space="preserve"> a Canadian bank</w:t>
      </w:r>
      <w:r w:rsidR="00AC4DF6">
        <w:rPr>
          <w:sz w:val="22"/>
        </w:rPr>
        <w:t xml:space="preserve"> (a Schedule I, II or III bank)</w:t>
      </w:r>
      <w:r w:rsidRPr="00D75534">
        <w:rPr>
          <w:sz w:val="22"/>
        </w:rPr>
        <w:t xml:space="preserve">, Canadian trust company (with </w:t>
      </w:r>
      <w:r w:rsidR="00AD15F7" w:rsidRPr="00AD15F7">
        <w:rPr>
          <w:sz w:val="22"/>
        </w:rPr>
        <w:t xml:space="preserve">at least </w:t>
      </w:r>
      <w:r w:rsidRPr="00D75534">
        <w:rPr>
          <w:sz w:val="22"/>
        </w:rPr>
        <w:t>$10</w:t>
      </w:r>
      <w:r>
        <w:rPr>
          <w:sz w:val="22"/>
        </w:rPr>
        <w:t>,</w:t>
      </w:r>
      <w:r w:rsidRPr="00D75534">
        <w:rPr>
          <w:sz w:val="22"/>
        </w:rPr>
        <w:t>000</w:t>
      </w:r>
      <w:r>
        <w:rPr>
          <w:sz w:val="22"/>
        </w:rPr>
        <w:t>,</w:t>
      </w:r>
      <w:r w:rsidRPr="00D75534">
        <w:rPr>
          <w:sz w:val="22"/>
        </w:rPr>
        <w:t xml:space="preserve">000 in shareholders’ equity) or </w:t>
      </w:r>
      <w:r w:rsidR="00AD15F7" w:rsidRPr="00AD15F7">
        <w:rPr>
          <w:sz w:val="22"/>
        </w:rPr>
        <w:t xml:space="preserve">an </w:t>
      </w:r>
      <w:r w:rsidR="00AD15F7">
        <w:rPr>
          <w:sz w:val="22"/>
        </w:rPr>
        <w:t>affiliate</w:t>
      </w:r>
      <w:r w:rsidRPr="00D75534">
        <w:rPr>
          <w:sz w:val="22"/>
        </w:rPr>
        <w:t xml:space="preserve"> </w:t>
      </w:r>
      <w:r w:rsidR="00AD15F7" w:rsidRPr="00AD15F7">
        <w:rPr>
          <w:sz w:val="22"/>
        </w:rPr>
        <w:t xml:space="preserve">of the above </w:t>
      </w:r>
      <w:r w:rsidRPr="00D75534">
        <w:rPr>
          <w:sz w:val="22"/>
        </w:rPr>
        <w:t xml:space="preserve">(with </w:t>
      </w:r>
      <w:r w:rsidR="00AD15F7" w:rsidRPr="00AD15F7">
        <w:rPr>
          <w:sz w:val="22"/>
        </w:rPr>
        <w:t xml:space="preserve">at least </w:t>
      </w:r>
      <w:r w:rsidRPr="00D75534">
        <w:rPr>
          <w:sz w:val="22"/>
        </w:rPr>
        <w:t>$10</w:t>
      </w:r>
      <w:r>
        <w:rPr>
          <w:sz w:val="22"/>
        </w:rPr>
        <w:t>,</w:t>
      </w:r>
      <w:r w:rsidRPr="00D75534">
        <w:rPr>
          <w:sz w:val="22"/>
        </w:rPr>
        <w:t>000</w:t>
      </w:r>
      <w:r>
        <w:rPr>
          <w:sz w:val="22"/>
        </w:rPr>
        <w:t>,</w:t>
      </w:r>
      <w:r w:rsidRPr="00D75534">
        <w:rPr>
          <w:sz w:val="22"/>
        </w:rPr>
        <w:t>000 in shareholders’ equity and the bank or trust company assumes responsibility for the custodial obligations) or</w:t>
      </w:r>
    </w:p>
    <w:p w:rsidR="000F4C55" w:rsidRDefault="00D75534" w:rsidP="00857EE6">
      <w:pPr>
        <w:numPr>
          <w:ilvl w:val="0"/>
          <w:numId w:val="56"/>
        </w:numPr>
        <w:tabs>
          <w:tab w:val="clear" w:pos="720"/>
          <w:tab w:val="num" w:pos="0"/>
        </w:tabs>
        <w:ind w:left="360"/>
        <w:rPr>
          <w:sz w:val="22"/>
        </w:rPr>
      </w:pPr>
      <w:r w:rsidRPr="00D75534">
        <w:rPr>
          <w:sz w:val="22"/>
        </w:rPr>
        <w:t xml:space="preserve">for assets held outside Canada, a custodian </w:t>
      </w:r>
      <w:r w:rsidR="00AD15F7" w:rsidRPr="00AD15F7">
        <w:rPr>
          <w:sz w:val="22"/>
        </w:rPr>
        <w:t>must be an entity that is qualified to hold assets in Canada as described above,</w:t>
      </w:r>
      <w:r w:rsidR="00AD15F7">
        <w:rPr>
          <w:sz w:val="22"/>
        </w:rPr>
        <w:t xml:space="preserve"> </w:t>
      </w:r>
      <w:r w:rsidRPr="00D75534">
        <w:rPr>
          <w:sz w:val="22"/>
        </w:rPr>
        <w:t>a foreign entity that is regulated as a banking institution or trust company by the foreign government</w:t>
      </w:r>
      <w:r w:rsidR="00AD15F7">
        <w:rPr>
          <w:sz w:val="22"/>
        </w:rPr>
        <w:t xml:space="preserve"> or an agency of the government and</w:t>
      </w:r>
      <w:r w:rsidRPr="00D75534">
        <w:rPr>
          <w:sz w:val="22"/>
        </w:rPr>
        <w:t xml:space="preserve"> has shareholders' equity of at least $100</w:t>
      </w:r>
      <w:r>
        <w:rPr>
          <w:sz w:val="22"/>
        </w:rPr>
        <w:t>,</w:t>
      </w:r>
      <w:r w:rsidRPr="00D75534">
        <w:rPr>
          <w:sz w:val="22"/>
        </w:rPr>
        <w:t>000</w:t>
      </w:r>
      <w:r>
        <w:rPr>
          <w:sz w:val="22"/>
        </w:rPr>
        <w:t>,</w:t>
      </w:r>
      <w:r w:rsidRPr="00D75534">
        <w:rPr>
          <w:sz w:val="22"/>
        </w:rPr>
        <w:t>000</w:t>
      </w:r>
      <w:r w:rsidR="00AD15F7">
        <w:rPr>
          <w:sz w:val="22"/>
        </w:rPr>
        <w:t>,</w:t>
      </w:r>
      <w:r w:rsidRPr="00D75534">
        <w:rPr>
          <w:sz w:val="22"/>
        </w:rPr>
        <w:t xml:space="preserve"> </w:t>
      </w:r>
      <w:r w:rsidR="00AD15F7" w:rsidRPr="00AD15F7">
        <w:rPr>
          <w:sz w:val="22"/>
        </w:rPr>
        <w:t>or an affiliate of the above with at least $100,000,000 in shareholders' equity and the banking institution</w:t>
      </w:r>
      <w:r w:rsidRPr="00D75534">
        <w:rPr>
          <w:sz w:val="22"/>
        </w:rPr>
        <w:t xml:space="preserve"> or trust company assumes responsibility for the custodial obligations.</w:t>
      </w:r>
      <w:r w:rsidRPr="00D75534">
        <w:rPr>
          <w:sz w:val="22"/>
        </w:rPr>
        <w:br/>
      </w:r>
    </w:p>
    <w:p w:rsidR="005A3A53" w:rsidRDefault="005A3A53">
      <w:pPr>
        <w:rPr>
          <w:sz w:val="22"/>
        </w:rPr>
      </w:pPr>
    </w:p>
    <w:p w:rsidR="00AD15F7" w:rsidRDefault="00AD15F7">
      <w:pPr>
        <w:spacing w:after="200" w:line="276" w:lineRule="auto"/>
        <w:rPr>
          <w:sz w:val="22"/>
        </w:rPr>
      </w:pPr>
      <w:r>
        <w:rPr>
          <w:sz w:val="22"/>
        </w:rPr>
        <w:br w:type="page"/>
      </w:r>
    </w:p>
    <w:p w:rsidR="000F4C55" w:rsidRPr="00361D6B" w:rsidRDefault="000B3491">
      <w:pPr>
        <w:rPr>
          <w:b/>
          <w:sz w:val="22"/>
        </w:rPr>
      </w:pPr>
      <w:r>
        <w:rPr>
          <w:b/>
          <w:sz w:val="22"/>
        </w:rPr>
        <w:lastRenderedPageBreak/>
        <w:t>S</w:t>
      </w:r>
      <w:r>
        <w:rPr>
          <w:b/>
          <w:iCs/>
          <w:sz w:val="22"/>
        </w:rPr>
        <w:t>UPERVISION AND ONGOING M</w:t>
      </w:r>
      <w:r w:rsidRPr="000B3491">
        <w:rPr>
          <w:b/>
          <w:iCs/>
          <w:sz w:val="22"/>
        </w:rPr>
        <w:t>ONITORING</w:t>
      </w:r>
    </w:p>
    <w:p w:rsidR="000F4C55" w:rsidRPr="000F4C55" w:rsidRDefault="000F4C55" w:rsidP="000F4C55">
      <w:pPr>
        <w:rPr>
          <w:sz w:val="22"/>
        </w:rPr>
      </w:pPr>
      <w:r w:rsidRPr="000F4C55">
        <w:rPr>
          <w:sz w:val="22"/>
        </w:rPr>
        <w:t xml:space="preserve">Regulators perform various functions and use numerous tools to assess compliance with the </w:t>
      </w:r>
      <w:r w:rsidR="000B3491">
        <w:rPr>
          <w:sz w:val="22"/>
        </w:rPr>
        <w:t>rules and regulations</w:t>
      </w:r>
      <w:r w:rsidRPr="000F4C55">
        <w:rPr>
          <w:sz w:val="22"/>
        </w:rPr>
        <w:t>. These include the following:</w:t>
      </w:r>
    </w:p>
    <w:p w:rsidR="000F4C55" w:rsidRDefault="000F4C55" w:rsidP="000F4C55">
      <w:pPr>
        <w:rPr>
          <w:b/>
          <w:sz w:val="22"/>
        </w:rPr>
      </w:pPr>
    </w:p>
    <w:p w:rsidR="000F4C55" w:rsidRPr="000F4C55" w:rsidRDefault="000F4C55" w:rsidP="000F4C55">
      <w:pPr>
        <w:rPr>
          <w:b/>
          <w:sz w:val="22"/>
        </w:rPr>
      </w:pPr>
      <w:r w:rsidRPr="000F4C55">
        <w:rPr>
          <w:b/>
          <w:sz w:val="22"/>
        </w:rPr>
        <w:t>Review and approval of all registration forms</w:t>
      </w:r>
    </w:p>
    <w:p w:rsidR="000F4C55" w:rsidRPr="000F4C55" w:rsidRDefault="000F4C55" w:rsidP="000F4C55">
      <w:pPr>
        <w:rPr>
          <w:sz w:val="22"/>
        </w:rPr>
      </w:pPr>
      <w:r w:rsidRPr="000F4C55">
        <w:rPr>
          <w:sz w:val="22"/>
        </w:rPr>
        <w:t xml:space="preserve">Before registration is permitted, completed Forms 33-109F4 </w:t>
      </w:r>
      <w:r w:rsidR="00EB168E" w:rsidRPr="00361D6B">
        <w:rPr>
          <w:i/>
          <w:sz w:val="22"/>
        </w:rPr>
        <w:t>Registration of Individuals and Review of Permitted Individuals</w:t>
      </w:r>
      <w:r w:rsidR="00EB168E">
        <w:rPr>
          <w:sz w:val="22"/>
        </w:rPr>
        <w:t xml:space="preserve"> (</w:t>
      </w:r>
      <w:r w:rsidR="00EB168E">
        <w:rPr>
          <w:b/>
          <w:sz w:val="22"/>
        </w:rPr>
        <w:t>Form</w:t>
      </w:r>
      <w:r w:rsidR="00EB168E" w:rsidRPr="00361D6B">
        <w:rPr>
          <w:b/>
          <w:sz w:val="22"/>
        </w:rPr>
        <w:t xml:space="preserve"> 33-109F4</w:t>
      </w:r>
      <w:r w:rsidR="00EB168E">
        <w:rPr>
          <w:sz w:val="22"/>
        </w:rPr>
        <w:t xml:space="preserve">) </w:t>
      </w:r>
      <w:r w:rsidRPr="000F4C55">
        <w:rPr>
          <w:sz w:val="22"/>
        </w:rPr>
        <w:t xml:space="preserve">and 33-109F6 </w:t>
      </w:r>
      <w:r w:rsidR="00EB168E" w:rsidRPr="00361D6B">
        <w:rPr>
          <w:i/>
          <w:sz w:val="22"/>
        </w:rPr>
        <w:t>Firm Registration</w:t>
      </w:r>
      <w:r w:rsidR="00EB168E">
        <w:rPr>
          <w:sz w:val="22"/>
        </w:rPr>
        <w:t xml:space="preserve"> (</w:t>
      </w:r>
      <w:r w:rsidR="00EB168E" w:rsidRPr="00361D6B">
        <w:rPr>
          <w:b/>
          <w:sz w:val="22"/>
        </w:rPr>
        <w:t>Form 33-109F6</w:t>
      </w:r>
      <w:r w:rsidR="00EB168E">
        <w:rPr>
          <w:sz w:val="22"/>
        </w:rPr>
        <w:t xml:space="preserve">) </w:t>
      </w:r>
      <w:r w:rsidRPr="000F4C55">
        <w:rPr>
          <w:sz w:val="22"/>
        </w:rPr>
        <w:t>must be submitted</w:t>
      </w:r>
      <w:r>
        <w:rPr>
          <w:sz w:val="22"/>
        </w:rPr>
        <w:t xml:space="preserve"> by the applicant</w:t>
      </w:r>
      <w:r w:rsidRPr="000F4C55">
        <w:rPr>
          <w:sz w:val="22"/>
        </w:rPr>
        <w:t>. The regulator reviews the forms to ensure that firms are meeting their obl</w:t>
      </w:r>
      <w:r w:rsidR="00EB168E">
        <w:rPr>
          <w:sz w:val="22"/>
        </w:rPr>
        <w:t>igations under section 5.1 of National Instrument</w:t>
      </w:r>
      <w:r w:rsidRPr="000F4C55">
        <w:rPr>
          <w:sz w:val="22"/>
        </w:rPr>
        <w:t xml:space="preserve"> 33-109 </w:t>
      </w:r>
      <w:r w:rsidR="00EB168E">
        <w:rPr>
          <w:sz w:val="22"/>
        </w:rPr>
        <w:t>Registration Information (</w:t>
      </w:r>
      <w:r w:rsidR="00EB168E" w:rsidRPr="00361D6B">
        <w:rPr>
          <w:b/>
          <w:sz w:val="22"/>
        </w:rPr>
        <w:t>NI 33-109</w:t>
      </w:r>
      <w:r w:rsidR="00EB168E">
        <w:rPr>
          <w:sz w:val="22"/>
        </w:rPr>
        <w:t xml:space="preserve">) </w:t>
      </w:r>
      <w:r w:rsidRPr="000F4C55">
        <w:rPr>
          <w:sz w:val="22"/>
        </w:rPr>
        <w:t>to ensure applications include trut</w:t>
      </w:r>
      <w:r>
        <w:rPr>
          <w:sz w:val="22"/>
        </w:rPr>
        <w:t>hful and complete information.</w:t>
      </w:r>
    </w:p>
    <w:p w:rsidR="000F4C55" w:rsidRPr="000F4C55" w:rsidRDefault="000F4C55" w:rsidP="000F4C55">
      <w:pPr>
        <w:rPr>
          <w:sz w:val="22"/>
        </w:rPr>
      </w:pPr>
    </w:p>
    <w:p w:rsidR="000F4C55" w:rsidRPr="000F4C55" w:rsidRDefault="000F4C55" w:rsidP="000F4C55">
      <w:pPr>
        <w:rPr>
          <w:sz w:val="22"/>
        </w:rPr>
      </w:pPr>
      <w:r w:rsidRPr="000F4C55">
        <w:rPr>
          <w:sz w:val="22"/>
        </w:rPr>
        <w:t>Form 33-109F6 discloses extensive information on the firm, including:</w:t>
      </w:r>
    </w:p>
    <w:p w:rsidR="000F4C55" w:rsidRPr="000F4C55" w:rsidRDefault="000F4C55" w:rsidP="000F4C55">
      <w:pPr>
        <w:numPr>
          <w:ilvl w:val="0"/>
          <w:numId w:val="38"/>
        </w:numPr>
        <w:rPr>
          <w:sz w:val="22"/>
        </w:rPr>
      </w:pPr>
      <w:r w:rsidRPr="000F4C55">
        <w:rPr>
          <w:sz w:val="22"/>
        </w:rPr>
        <w:t>the identity of the applicant, its location and contact information</w:t>
      </w:r>
    </w:p>
    <w:p w:rsidR="000F4C55" w:rsidRPr="000F4C55" w:rsidRDefault="000F4C55" w:rsidP="000F4C55">
      <w:pPr>
        <w:numPr>
          <w:ilvl w:val="0"/>
          <w:numId w:val="38"/>
        </w:numPr>
        <w:rPr>
          <w:sz w:val="22"/>
        </w:rPr>
      </w:pPr>
      <w:r w:rsidRPr="000F4C55">
        <w:rPr>
          <w:sz w:val="22"/>
        </w:rPr>
        <w:t>the identity of its UDP</w:t>
      </w:r>
    </w:p>
    <w:p w:rsidR="000F4C55" w:rsidRPr="000F4C55" w:rsidRDefault="000F4C55" w:rsidP="000F4C55">
      <w:pPr>
        <w:numPr>
          <w:ilvl w:val="0"/>
          <w:numId w:val="38"/>
        </w:numPr>
        <w:rPr>
          <w:sz w:val="22"/>
        </w:rPr>
      </w:pPr>
      <w:r w:rsidRPr="000F4C55">
        <w:rPr>
          <w:sz w:val="22"/>
        </w:rPr>
        <w:t>its business history and structure, including organization and ownership chart</w:t>
      </w:r>
    </w:p>
    <w:p w:rsidR="000F4C55" w:rsidRPr="000F4C55" w:rsidRDefault="000F4C55" w:rsidP="000F4C55">
      <w:pPr>
        <w:numPr>
          <w:ilvl w:val="0"/>
          <w:numId w:val="38"/>
        </w:numPr>
        <w:rPr>
          <w:sz w:val="22"/>
        </w:rPr>
      </w:pPr>
      <w:r w:rsidRPr="000F4C55">
        <w:rPr>
          <w:sz w:val="22"/>
        </w:rPr>
        <w:t xml:space="preserve">its registration history in any jurisdiction whether in or outside Canada, including any exemptions from securities registration, information as to whether registration was refused, information on SRO membership and details on registration or licensing </w:t>
      </w:r>
    </w:p>
    <w:p w:rsidR="000F4C55" w:rsidRPr="000F4C55" w:rsidRDefault="000F4C55" w:rsidP="000F4C55">
      <w:pPr>
        <w:numPr>
          <w:ilvl w:val="0"/>
          <w:numId w:val="38"/>
        </w:numPr>
        <w:rPr>
          <w:sz w:val="22"/>
        </w:rPr>
      </w:pPr>
      <w:r w:rsidRPr="000F4C55">
        <w:rPr>
          <w:sz w:val="22"/>
        </w:rPr>
        <w:t>information on the financial condition of the applicant, including the sources and calculation of capital, bonding and insurance and general solvency information</w:t>
      </w:r>
    </w:p>
    <w:p w:rsidR="000F4C55" w:rsidRPr="000F4C55" w:rsidRDefault="000F4C55" w:rsidP="000F4C55">
      <w:pPr>
        <w:numPr>
          <w:ilvl w:val="0"/>
          <w:numId w:val="38"/>
        </w:numPr>
        <w:rPr>
          <w:sz w:val="22"/>
        </w:rPr>
      </w:pPr>
      <w:r w:rsidRPr="000F4C55">
        <w:rPr>
          <w:sz w:val="22"/>
        </w:rPr>
        <w:t>a description of any significant conflict of interest</w:t>
      </w:r>
    </w:p>
    <w:p w:rsidR="000F4C55" w:rsidRPr="000F4C55" w:rsidRDefault="000F4C55" w:rsidP="000F4C55">
      <w:pPr>
        <w:numPr>
          <w:ilvl w:val="0"/>
          <w:numId w:val="38"/>
        </w:numPr>
        <w:rPr>
          <w:sz w:val="22"/>
        </w:rPr>
      </w:pPr>
      <w:r w:rsidRPr="000F4C55">
        <w:rPr>
          <w:sz w:val="22"/>
        </w:rPr>
        <w:t>information on all regulatory actions, namely settlement agreements, disciplinary history and ongoing investigations, and</w:t>
      </w:r>
    </w:p>
    <w:p w:rsidR="000F4C55" w:rsidRPr="000F4C55" w:rsidRDefault="000F4C55" w:rsidP="000F4C55">
      <w:pPr>
        <w:numPr>
          <w:ilvl w:val="0"/>
          <w:numId w:val="38"/>
        </w:numPr>
        <w:rPr>
          <w:sz w:val="22"/>
        </w:rPr>
      </w:pPr>
      <w:proofErr w:type="gramStart"/>
      <w:r w:rsidRPr="000F4C55">
        <w:rPr>
          <w:sz w:val="22"/>
        </w:rPr>
        <w:t>information</w:t>
      </w:r>
      <w:proofErr w:type="gramEnd"/>
      <w:r w:rsidRPr="000F4C55">
        <w:rPr>
          <w:sz w:val="22"/>
        </w:rPr>
        <w:t xml:space="preserve"> on criminal convictions, outstanding criminal charges, legal actions and judgments against the applicant in the past 7 years.</w:t>
      </w:r>
    </w:p>
    <w:p w:rsidR="000F4C55" w:rsidRDefault="000F4C55" w:rsidP="000F4C55">
      <w:pPr>
        <w:rPr>
          <w:sz w:val="22"/>
        </w:rPr>
      </w:pPr>
    </w:p>
    <w:p w:rsidR="008316EC" w:rsidRPr="008316EC" w:rsidRDefault="008316EC" w:rsidP="008316EC">
      <w:pPr>
        <w:rPr>
          <w:sz w:val="22"/>
        </w:rPr>
      </w:pPr>
      <w:r w:rsidRPr="000F4C55">
        <w:rPr>
          <w:sz w:val="22"/>
        </w:rPr>
        <w:t>F</w:t>
      </w:r>
      <w:r>
        <w:rPr>
          <w:sz w:val="22"/>
        </w:rPr>
        <w:t>orm 33-109F4</w:t>
      </w:r>
      <w:r w:rsidRPr="000F4C55">
        <w:rPr>
          <w:sz w:val="22"/>
        </w:rPr>
        <w:t xml:space="preserve"> discloses extensive information on the </w:t>
      </w:r>
      <w:r>
        <w:rPr>
          <w:sz w:val="22"/>
        </w:rPr>
        <w:t xml:space="preserve">individual. </w:t>
      </w:r>
      <w:r w:rsidRPr="008316EC">
        <w:rPr>
          <w:sz w:val="22"/>
        </w:rPr>
        <w:t>The applications of these individuals are reviewed very closely to determine if they are fit for registration and meet the required standards of integrity, proficiency and solvency. The regulator’s review process includes:</w:t>
      </w:r>
    </w:p>
    <w:p w:rsidR="008316EC" w:rsidRPr="008316EC" w:rsidRDefault="008316EC" w:rsidP="008316EC">
      <w:pPr>
        <w:numPr>
          <w:ilvl w:val="0"/>
          <w:numId w:val="39"/>
        </w:numPr>
        <w:rPr>
          <w:sz w:val="22"/>
        </w:rPr>
      </w:pPr>
      <w:r w:rsidRPr="008316EC">
        <w:rPr>
          <w:sz w:val="22"/>
        </w:rPr>
        <w:t>background checks, including obtaining information on any criminal offences, civil actions alleging fraud, theft, deceit, misrepresentation or similar misconduct, financial information on prior bankruptcies, and other detrimental information from other securities regulatory proceedings or investigations, and</w:t>
      </w:r>
    </w:p>
    <w:p w:rsidR="008316EC" w:rsidRPr="008316EC" w:rsidRDefault="008316EC" w:rsidP="008316EC">
      <w:pPr>
        <w:numPr>
          <w:ilvl w:val="0"/>
          <w:numId w:val="39"/>
        </w:numPr>
        <w:rPr>
          <w:sz w:val="22"/>
        </w:rPr>
      </w:pPr>
      <w:proofErr w:type="gramStart"/>
      <w:r w:rsidRPr="008316EC">
        <w:rPr>
          <w:sz w:val="22"/>
        </w:rPr>
        <w:t>an</w:t>
      </w:r>
      <w:proofErr w:type="gramEnd"/>
      <w:r w:rsidRPr="008316EC">
        <w:rPr>
          <w:sz w:val="22"/>
        </w:rPr>
        <w:t xml:space="preserve"> examination of the individuals’ relevant securities industry experience, including employment history.</w:t>
      </w:r>
    </w:p>
    <w:p w:rsidR="008316EC" w:rsidRDefault="008316EC" w:rsidP="000F4C55">
      <w:pPr>
        <w:rPr>
          <w:sz w:val="22"/>
        </w:rPr>
      </w:pPr>
    </w:p>
    <w:p w:rsidR="000F4C55" w:rsidRPr="000F4C55" w:rsidRDefault="000F4C55" w:rsidP="000F4C55">
      <w:pPr>
        <w:rPr>
          <w:b/>
          <w:sz w:val="22"/>
        </w:rPr>
      </w:pPr>
      <w:r w:rsidRPr="000F4C55">
        <w:rPr>
          <w:b/>
          <w:sz w:val="22"/>
        </w:rPr>
        <w:t>Compliance inspections</w:t>
      </w:r>
    </w:p>
    <w:p w:rsidR="000F4C55" w:rsidRPr="000F4C55" w:rsidRDefault="000F4C55" w:rsidP="000F4C55">
      <w:pPr>
        <w:rPr>
          <w:sz w:val="22"/>
        </w:rPr>
      </w:pPr>
      <w:r w:rsidRPr="000F4C55">
        <w:rPr>
          <w:sz w:val="22"/>
        </w:rPr>
        <w:t xml:space="preserve">Each jurisdiction has the power under its respective securities legislation to review the books, records and documents that are required to be kept by a registrant under securities law for the purpose of determining whether such laws are being complied with. </w:t>
      </w:r>
      <w:r w:rsidR="00EB168E">
        <w:rPr>
          <w:sz w:val="22"/>
        </w:rPr>
        <w:t xml:space="preserve"> </w:t>
      </w:r>
      <w:r w:rsidRPr="000F4C55">
        <w:rPr>
          <w:sz w:val="22"/>
        </w:rPr>
        <w:t xml:space="preserve">The regulator conducts compliance inspections of selected registered firms on a continuous basis. </w:t>
      </w:r>
      <w:r w:rsidR="00EB168E">
        <w:rPr>
          <w:sz w:val="22"/>
        </w:rPr>
        <w:t xml:space="preserve"> </w:t>
      </w:r>
      <w:r w:rsidRPr="000F4C55">
        <w:rPr>
          <w:sz w:val="22"/>
        </w:rPr>
        <w:t xml:space="preserve">Generally, </w:t>
      </w:r>
      <w:proofErr w:type="gramStart"/>
      <w:r w:rsidRPr="000F4C55">
        <w:rPr>
          <w:sz w:val="22"/>
        </w:rPr>
        <w:t>staff in most jurisdictions select</w:t>
      </w:r>
      <w:proofErr w:type="gramEnd"/>
      <w:r w:rsidRPr="000F4C55">
        <w:rPr>
          <w:sz w:val="22"/>
        </w:rPr>
        <w:t xml:space="preserve"> registrants for review using a risk-based approach. However, </w:t>
      </w:r>
      <w:proofErr w:type="gramStart"/>
      <w:r w:rsidRPr="000F4C55">
        <w:rPr>
          <w:sz w:val="22"/>
        </w:rPr>
        <w:t>staff occasionally select</w:t>
      </w:r>
      <w:proofErr w:type="gramEnd"/>
      <w:r w:rsidRPr="000F4C55">
        <w:rPr>
          <w:sz w:val="22"/>
        </w:rPr>
        <w:t xml:space="preserve"> lower risk firms for review on a routine basis to help evaluate the effectiveness of staff’s risk-based approach. </w:t>
      </w:r>
    </w:p>
    <w:p w:rsidR="000F4C55" w:rsidRPr="000F4C55" w:rsidRDefault="000F4C55" w:rsidP="000F4C55">
      <w:pPr>
        <w:rPr>
          <w:sz w:val="22"/>
        </w:rPr>
      </w:pPr>
    </w:p>
    <w:p w:rsidR="000F4C55" w:rsidRPr="000F4C55" w:rsidRDefault="000F4C55" w:rsidP="000F4C55">
      <w:pPr>
        <w:rPr>
          <w:sz w:val="22"/>
        </w:rPr>
      </w:pPr>
      <w:r w:rsidRPr="000F4C55">
        <w:rPr>
          <w:sz w:val="22"/>
        </w:rPr>
        <w:t xml:space="preserve">Compliance inspections of registered firms generally focus on their conduct, practices, operations and capital adequacy. There are typically three types of reviews used by the regulator: </w:t>
      </w:r>
    </w:p>
    <w:p w:rsidR="000F4C55" w:rsidRPr="000F4C55" w:rsidRDefault="000F4C55" w:rsidP="000F4C55">
      <w:pPr>
        <w:numPr>
          <w:ilvl w:val="0"/>
          <w:numId w:val="37"/>
        </w:numPr>
        <w:rPr>
          <w:sz w:val="22"/>
        </w:rPr>
      </w:pPr>
      <w:r w:rsidRPr="000F4C55">
        <w:rPr>
          <w:sz w:val="22"/>
        </w:rPr>
        <w:t>risk-based routine inspections</w:t>
      </w:r>
    </w:p>
    <w:p w:rsidR="000F4C55" w:rsidRPr="000F4C55" w:rsidRDefault="000F4C55" w:rsidP="000F4C55">
      <w:pPr>
        <w:numPr>
          <w:ilvl w:val="0"/>
          <w:numId w:val="37"/>
        </w:numPr>
        <w:rPr>
          <w:sz w:val="22"/>
        </w:rPr>
      </w:pPr>
      <w:r w:rsidRPr="000F4C55">
        <w:rPr>
          <w:sz w:val="22"/>
        </w:rPr>
        <w:t xml:space="preserve">for-cause inspections, and </w:t>
      </w:r>
    </w:p>
    <w:p w:rsidR="000F4C55" w:rsidRPr="000F4C55" w:rsidRDefault="000F4C55" w:rsidP="000F4C55">
      <w:pPr>
        <w:numPr>
          <w:ilvl w:val="0"/>
          <w:numId w:val="37"/>
        </w:numPr>
        <w:rPr>
          <w:sz w:val="22"/>
        </w:rPr>
      </w:pPr>
      <w:proofErr w:type="gramStart"/>
      <w:r w:rsidRPr="000F4C55">
        <w:rPr>
          <w:sz w:val="22"/>
        </w:rPr>
        <w:t>targeted</w:t>
      </w:r>
      <w:proofErr w:type="gramEnd"/>
      <w:r w:rsidRPr="000F4C55">
        <w:rPr>
          <w:sz w:val="22"/>
        </w:rPr>
        <w:t xml:space="preserve"> inspections or sweeps. </w:t>
      </w:r>
    </w:p>
    <w:p w:rsidR="000F4C55" w:rsidRPr="000F4C55" w:rsidRDefault="000F4C55" w:rsidP="000F4C55">
      <w:pPr>
        <w:rPr>
          <w:sz w:val="22"/>
        </w:rPr>
      </w:pPr>
    </w:p>
    <w:p w:rsidR="000F4C55" w:rsidRPr="000F4C55" w:rsidRDefault="000F4C55" w:rsidP="000F4C55">
      <w:pPr>
        <w:rPr>
          <w:sz w:val="22"/>
        </w:rPr>
      </w:pPr>
      <w:r w:rsidRPr="000F4C55">
        <w:rPr>
          <w:sz w:val="22"/>
        </w:rPr>
        <w:t xml:space="preserve">The risk-based approach is intended to identify those registrants that are most likely to have material issues, including risk of harm to investors. Staff normally conduct compliance inspections on-site at a registrant’s premises, but may also perform inspections from the regulator’s offices, which are known as desk reviews. Annual desk reviews of registrant financial statements and capital calculations are done by the regulator to assess compliance with the working capital requirements. </w:t>
      </w:r>
    </w:p>
    <w:p w:rsidR="000F4C55" w:rsidRPr="000F4C55" w:rsidRDefault="000F4C55" w:rsidP="000F4C55">
      <w:pPr>
        <w:rPr>
          <w:sz w:val="22"/>
        </w:rPr>
      </w:pPr>
    </w:p>
    <w:p w:rsidR="000F4C55" w:rsidRPr="000F4C55" w:rsidRDefault="000F4C55" w:rsidP="000F4C55">
      <w:pPr>
        <w:rPr>
          <w:sz w:val="22"/>
        </w:rPr>
      </w:pPr>
      <w:r w:rsidRPr="000F4C55">
        <w:rPr>
          <w:sz w:val="22"/>
        </w:rPr>
        <w:t xml:space="preserve">The majority of inspections are proactive in nature, but </w:t>
      </w:r>
      <w:proofErr w:type="gramStart"/>
      <w:r w:rsidRPr="000F4C55">
        <w:rPr>
          <w:sz w:val="22"/>
        </w:rPr>
        <w:t>staff also perform</w:t>
      </w:r>
      <w:proofErr w:type="gramEnd"/>
      <w:r w:rsidRPr="000F4C55">
        <w:rPr>
          <w:sz w:val="22"/>
        </w:rPr>
        <w:t xml:space="preserve"> inspections on a for-cause basis where staff are aware of a potential compliance issue, for example, from a complaint or a referral from another branch, an SRO or another regulator. </w:t>
      </w:r>
      <w:proofErr w:type="gramStart"/>
      <w:r w:rsidRPr="000F4C55">
        <w:rPr>
          <w:sz w:val="22"/>
        </w:rPr>
        <w:t>Staff also conduct</w:t>
      </w:r>
      <w:proofErr w:type="gramEnd"/>
      <w:r w:rsidRPr="000F4C55">
        <w:rPr>
          <w:sz w:val="22"/>
        </w:rPr>
        <w:t xml:space="preserve"> sweeps, or targeted reviews, which are compliance inspections of a sample of registered firms on a specific topic or in a particular industry sector over a short period of time. Sweeps allow staff to respond on a timely basis to industry-wide concerns or issues. </w:t>
      </w:r>
    </w:p>
    <w:p w:rsidR="000F4C55" w:rsidRPr="000F4C55" w:rsidRDefault="000F4C55" w:rsidP="000F4C55">
      <w:pPr>
        <w:rPr>
          <w:sz w:val="22"/>
        </w:rPr>
      </w:pPr>
    </w:p>
    <w:p w:rsidR="000F4C55" w:rsidRPr="000F4C55" w:rsidRDefault="000F4C55" w:rsidP="000F4C55">
      <w:pPr>
        <w:rPr>
          <w:sz w:val="22"/>
        </w:rPr>
      </w:pPr>
      <w:r w:rsidRPr="000F4C55">
        <w:rPr>
          <w:sz w:val="22"/>
        </w:rPr>
        <w:t xml:space="preserve">The purpose of compliance inspections is to assess compliance with securities law. In most cases, the deficiencies noted are raised with the firm reviewed so that appropriate corrective action can be taken. However, </w:t>
      </w:r>
      <w:proofErr w:type="gramStart"/>
      <w:r w:rsidRPr="000F4C55">
        <w:rPr>
          <w:sz w:val="22"/>
        </w:rPr>
        <w:t>staff remain</w:t>
      </w:r>
      <w:proofErr w:type="gramEnd"/>
      <w:r w:rsidRPr="000F4C55">
        <w:rPr>
          <w:sz w:val="22"/>
        </w:rPr>
        <w:t xml:space="preserve"> alert to any signs of potential registrant misconduct or fraud and will take appropriate steps if they identify these signs. </w:t>
      </w:r>
    </w:p>
    <w:p w:rsidR="000F4C55" w:rsidRPr="000F4C55" w:rsidRDefault="000F4C55" w:rsidP="000F4C55">
      <w:pPr>
        <w:rPr>
          <w:sz w:val="22"/>
        </w:rPr>
      </w:pPr>
    </w:p>
    <w:p w:rsidR="000F4C55" w:rsidRPr="000F4C55" w:rsidRDefault="000F4C55" w:rsidP="000F4C55">
      <w:pPr>
        <w:rPr>
          <w:sz w:val="22"/>
        </w:rPr>
      </w:pPr>
      <w:r w:rsidRPr="000F4C55">
        <w:rPr>
          <w:sz w:val="22"/>
        </w:rPr>
        <w:t xml:space="preserve">Each regulator under their local securities legislation has the power to impose terms and conditions on registrants to, for example, restrict their activities or require </w:t>
      </w:r>
      <w:r w:rsidRPr="000F4C55">
        <w:rPr>
          <w:sz w:val="22"/>
        </w:rPr>
        <w:lastRenderedPageBreak/>
        <w:t xml:space="preserve">supervision of those activities. In these cases, registrants, or applicants for registration, have an opportunity to be heard before the regulator prior to the terms and conditions becoming final. </w:t>
      </w:r>
    </w:p>
    <w:p w:rsidR="000F4C55" w:rsidRPr="000F4C55" w:rsidRDefault="000F4C55" w:rsidP="000F4C55">
      <w:pPr>
        <w:rPr>
          <w:sz w:val="22"/>
        </w:rPr>
      </w:pPr>
    </w:p>
    <w:p w:rsidR="000F4C55" w:rsidRPr="000F4C55" w:rsidRDefault="000F4C55" w:rsidP="000F4C55">
      <w:pPr>
        <w:rPr>
          <w:b/>
          <w:sz w:val="22"/>
        </w:rPr>
      </w:pPr>
      <w:r w:rsidRPr="000F4C55">
        <w:rPr>
          <w:sz w:val="22"/>
        </w:rPr>
        <w:t xml:space="preserve">For more serious matters, staff may make referrals to the enforcement branch for investigation and further regulatory action, or recommend the suspension of the firms’ registration. </w:t>
      </w:r>
    </w:p>
    <w:p w:rsidR="000F4C55" w:rsidRDefault="000F4C55" w:rsidP="000F4C55">
      <w:pPr>
        <w:rPr>
          <w:sz w:val="22"/>
        </w:rPr>
      </w:pPr>
    </w:p>
    <w:p w:rsidR="00434A41" w:rsidRPr="00434A41" w:rsidRDefault="00434A41" w:rsidP="00434A41">
      <w:pPr>
        <w:rPr>
          <w:b/>
          <w:sz w:val="22"/>
        </w:rPr>
      </w:pPr>
      <w:r w:rsidRPr="00434A41">
        <w:rPr>
          <w:b/>
          <w:sz w:val="22"/>
        </w:rPr>
        <w:t>Use of questionnaires</w:t>
      </w:r>
    </w:p>
    <w:p w:rsidR="00434A41" w:rsidRDefault="00434A41" w:rsidP="00434A41">
      <w:pPr>
        <w:rPr>
          <w:sz w:val="22"/>
        </w:rPr>
      </w:pPr>
      <w:r w:rsidRPr="00434A41">
        <w:rPr>
          <w:sz w:val="22"/>
        </w:rPr>
        <w:t xml:space="preserve">From time to time, the regulator may prepare and distribute a questionnaire or survey on a particular area of concern for information gathering or to assess whether follow up work is required. </w:t>
      </w:r>
    </w:p>
    <w:p w:rsidR="00434A41" w:rsidRPr="00434A41" w:rsidRDefault="00434A41" w:rsidP="00434A41">
      <w:pPr>
        <w:rPr>
          <w:sz w:val="22"/>
        </w:rPr>
      </w:pPr>
    </w:p>
    <w:p w:rsidR="00434A41" w:rsidRPr="00434A41" w:rsidRDefault="007D4EDE" w:rsidP="00434A41">
      <w:pPr>
        <w:rPr>
          <w:sz w:val="22"/>
        </w:rPr>
      </w:pPr>
      <w:r>
        <w:rPr>
          <w:sz w:val="22"/>
        </w:rPr>
        <w:t>For example</w:t>
      </w:r>
      <w:r w:rsidR="00434A41">
        <w:rPr>
          <w:sz w:val="22"/>
        </w:rPr>
        <w:t xml:space="preserve">, </w:t>
      </w:r>
      <w:r w:rsidR="00434A41" w:rsidRPr="00434A41">
        <w:rPr>
          <w:sz w:val="22"/>
        </w:rPr>
        <w:t xml:space="preserve">a </w:t>
      </w:r>
      <w:r w:rsidR="00434A41" w:rsidRPr="00434A41">
        <w:rPr>
          <w:i/>
          <w:sz w:val="22"/>
        </w:rPr>
        <w:t>Risk Assessment Questionnaire</w:t>
      </w:r>
      <w:r w:rsidR="00434A41" w:rsidRPr="00434A41">
        <w:rPr>
          <w:sz w:val="22"/>
        </w:rPr>
        <w:t xml:space="preserve"> (RAQ) </w:t>
      </w:r>
      <w:r w:rsidR="00434A41">
        <w:rPr>
          <w:sz w:val="22"/>
        </w:rPr>
        <w:t xml:space="preserve">is used </w:t>
      </w:r>
      <w:r>
        <w:rPr>
          <w:sz w:val="22"/>
        </w:rPr>
        <w:t xml:space="preserve">in </w:t>
      </w:r>
      <w:r w:rsidR="003751B6">
        <w:rPr>
          <w:sz w:val="22"/>
        </w:rPr>
        <w:t xml:space="preserve">British Columbia and </w:t>
      </w:r>
      <w:r>
        <w:rPr>
          <w:sz w:val="22"/>
        </w:rPr>
        <w:t xml:space="preserve">Ontario </w:t>
      </w:r>
      <w:r w:rsidR="00434A41">
        <w:rPr>
          <w:sz w:val="22"/>
        </w:rPr>
        <w:t>to</w:t>
      </w:r>
      <w:r w:rsidR="00434A41" w:rsidRPr="00434A41">
        <w:rPr>
          <w:sz w:val="22"/>
        </w:rPr>
        <w:t xml:space="preserve"> </w:t>
      </w:r>
      <w:r>
        <w:rPr>
          <w:sz w:val="22"/>
        </w:rPr>
        <w:t>gather</w:t>
      </w:r>
      <w:r w:rsidR="00434A41" w:rsidRPr="00434A41">
        <w:rPr>
          <w:sz w:val="22"/>
        </w:rPr>
        <w:t xml:space="preserve"> information </w:t>
      </w:r>
      <w:r>
        <w:rPr>
          <w:sz w:val="22"/>
        </w:rPr>
        <w:t xml:space="preserve">from </w:t>
      </w:r>
      <w:r w:rsidRPr="007D4EDE">
        <w:rPr>
          <w:bCs/>
          <w:sz w:val="22"/>
        </w:rPr>
        <w:t>registered firms about</w:t>
      </w:r>
      <w:r>
        <w:rPr>
          <w:bCs/>
          <w:sz w:val="22"/>
        </w:rPr>
        <w:t xml:space="preserve"> their </w:t>
      </w:r>
      <w:r w:rsidRPr="007D4EDE">
        <w:rPr>
          <w:bCs/>
          <w:sz w:val="22"/>
        </w:rPr>
        <w:t>busin</w:t>
      </w:r>
      <w:r>
        <w:rPr>
          <w:bCs/>
          <w:sz w:val="22"/>
        </w:rPr>
        <w:t>ess operations</w:t>
      </w:r>
      <w:r w:rsidR="00434A41" w:rsidRPr="00434A41">
        <w:rPr>
          <w:sz w:val="22"/>
        </w:rPr>
        <w:t xml:space="preserve">. </w:t>
      </w:r>
      <w:r w:rsidR="00434A41">
        <w:rPr>
          <w:sz w:val="22"/>
        </w:rPr>
        <w:t xml:space="preserve"> </w:t>
      </w:r>
      <w:r w:rsidR="003751B6">
        <w:rPr>
          <w:sz w:val="22"/>
        </w:rPr>
        <w:t>In Ontario, t</w:t>
      </w:r>
      <w:r w:rsidR="00434A41" w:rsidRPr="00434A41">
        <w:rPr>
          <w:sz w:val="22"/>
        </w:rPr>
        <w:t xml:space="preserve">he </w:t>
      </w:r>
      <w:r>
        <w:rPr>
          <w:sz w:val="22"/>
        </w:rPr>
        <w:t>RAQ is issued to Ontario registered firms e</w:t>
      </w:r>
      <w:r w:rsidRPr="007D4EDE">
        <w:rPr>
          <w:sz w:val="22"/>
        </w:rPr>
        <w:t>very two to three years</w:t>
      </w:r>
      <w:r>
        <w:rPr>
          <w:sz w:val="22"/>
        </w:rPr>
        <w:t xml:space="preserve">, with the most recent one sent in June 2014. </w:t>
      </w:r>
      <w:r w:rsidRPr="007D4EDE">
        <w:rPr>
          <w:sz w:val="22"/>
        </w:rPr>
        <w:t xml:space="preserve"> </w:t>
      </w:r>
      <w:r>
        <w:rPr>
          <w:sz w:val="22"/>
        </w:rPr>
        <w:t>I</w:t>
      </w:r>
      <w:r w:rsidR="00434A41" w:rsidRPr="00434A41">
        <w:rPr>
          <w:sz w:val="22"/>
        </w:rPr>
        <w:t xml:space="preserve">nformation </w:t>
      </w:r>
      <w:r>
        <w:rPr>
          <w:sz w:val="22"/>
        </w:rPr>
        <w:t xml:space="preserve">gathered from the RAQ </w:t>
      </w:r>
      <w:r w:rsidR="00434A41" w:rsidRPr="00434A41">
        <w:rPr>
          <w:sz w:val="22"/>
        </w:rPr>
        <w:t xml:space="preserve">is used to </w:t>
      </w:r>
      <w:r>
        <w:rPr>
          <w:sz w:val="22"/>
        </w:rPr>
        <w:t>populate a risk assessment model, which assists</w:t>
      </w:r>
      <w:r w:rsidR="00434A41" w:rsidRPr="00434A41">
        <w:rPr>
          <w:sz w:val="22"/>
        </w:rPr>
        <w:t xml:space="preserve"> </w:t>
      </w:r>
      <w:r w:rsidR="00434A41">
        <w:rPr>
          <w:sz w:val="22"/>
        </w:rPr>
        <w:t>the regulator</w:t>
      </w:r>
      <w:r w:rsidR="00434A41" w:rsidRPr="00434A41">
        <w:rPr>
          <w:sz w:val="22"/>
        </w:rPr>
        <w:t xml:space="preserve"> </w:t>
      </w:r>
      <w:r w:rsidRPr="007D4EDE">
        <w:rPr>
          <w:bCs/>
          <w:sz w:val="22"/>
        </w:rPr>
        <w:t>to make evidence-based decisions about which firms require further attention and oversight.</w:t>
      </w:r>
    </w:p>
    <w:p w:rsidR="00434A41" w:rsidRDefault="00434A41" w:rsidP="000F4C55">
      <w:pPr>
        <w:rPr>
          <w:sz w:val="22"/>
        </w:rPr>
      </w:pPr>
    </w:p>
    <w:p w:rsidR="00510995" w:rsidRPr="000F4C55" w:rsidRDefault="00510995" w:rsidP="000F4C55">
      <w:pPr>
        <w:rPr>
          <w:sz w:val="22"/>
        </w:rPr>
      </w:pPr>
    </w:p>
    <w:p w:rsidR="003338D4" w:rsidRPr="00361D6B" w:rsidRDefault="00531062" w:rsidP="003338D4">
      <w:pPr>
        <w:rPr>
          <w:sz w:val="22"/>
        </w:rPr>
      </w:pPr>
      <w:r>
        <w:rPr>
          <w:b/>
          <w:sz w:val="22"/>
        </w:rPr>
        <w:t xml:space="preserve">REVIEW OF </w:t>
      </w:r>
      <w:r w:rsidR="003338D4" w:rsidRPr="003338D4">
        <w:rPr>
          <w:b/>
          <w:sz w:val="22"/>
        </w:rPr>
        <w:t>REGULATORY FILINGS</w:t>
      </w:r>
    </w:p>
    <w:p w:rsidR="003338D4" w:rsidRDefault="003338D4" w:rsidP="000F4C55">
      <w:pPr>
        <w:rPr>
          <w:b/>
          <w:sz w:val="22"/>
        </w:rPr>
      </w:pPr>
    </w:p>
    <w:p w:rsidR="008032CD" w:rsidRPr="003338D4" w:rsidRDefault="008032CD" w:rsidP="008032CD">
      <w:pPr>
        <w:rPr>
          <w:b/>
          <w:sz w:val="22"/>
        </w:rPr>
      </w:pPr>
      <w:r w:rsidRPr="003338D4">
        <w:rPr>
          <w:b/>
          <w:sz w:val="22"/>
        </w:rPr>
        <w:t>Reporting required under NI 31-103</w:t>
      </w:r>
    </w:p>
    <w:p w:rsidR="008032CD" w:rsidRPr="003338D4" w:rsidRDefault="008032CD" w:rsidP="008032CD">
      <w:pPr>
        <w:rPr>
          <w:sz w:val="22"/>
        </w:rPr>
      </w:pPr>
      <w:r w:rsidRPr="003338D4">
        <w:rPr>
          <w:sz w:val="22"/>
        </w:rPr>
        <w:t>Under section</w:t>
      </w:r>
      <w:r>
        <w:rPr>
          <w:sz w:val="22"/>
        </w:rPr>
        <w:t>s 12.12 and 12.13</w:t>
      </w:r>
      <w:r w:rsidRPr="003338D4">
        <w:rPr>
          <w:sz w:val="22"/>
        </w:rPr>
        <w:t xml:space="preserve">, </w:t>
      </w:r>
      <w:r>
        <w:rPr>
          <w:sz w:val="22"/>
        </w:rPr>
        <w:t>advisers and dealers</w:t>
      </w:r>
      <w:r w:rsidRPr="003338D4">
        <w:rPr>
          <w:sz w:val="22"/>
        </w:rPr>
        <w:t xml:space="preserve"> must submit annual financial information to the regulators, including:</w:t>
      </w:r>
    </w:p>
    <w:p w:rsidR="008032CD" w:rsidRPr="003338D4" w:rsidRDefault="008032CD" w:rsidP="008032CD">
      <w:pPr>
        <w:numPr>
          <w:ilvl w:val="0"/>
          <w:numId w:val="36"/>
        </w:numPr>
        <w:rPr>
          <w:sz w:val="22"/>
        </w:rPr>
      </w:pPr>
      <w:r w:rsidRPr="003338D4">
        <w:rPr>
          <w:sz w:val="22"/>
        </w:rPr>
        <w:t xml:space="preserve">annual </w:t>
      </w:r>
      <w:r>
        <w:rPr>
          <w:sz w:val="22"/>
        </w:rPr>
        <w:t xml:space="preserve">audited </w:t>
      </w:r>
      <w:r w:rsidRPr="003338D4">
        <w:rPr>
          <w:sz w:val="22"/>
        </w:rPr>
        <w:t>financial statements</w:t>
      </w:r>
      <w:r>
        <w:rPr>
          <w:sz w:val="22"/>
        </w:rPr>
        <w:t>, and</w:t>
      </w:r>
    </w:p>
    <w:p w:rsidR="008032CD" w:rsidRPr="004D08DA" w:rsidRDefault="008032CD" w:rsidP="008032CD">
      <w:pPr>
        <w:numPr>
          <w:ilvl w:val="0"/>
          <w:numId w:val="36"/>
        </w:numPr>
        <w:rPr>
          <w:sz w:val="22"/>
        </w:rPr>
      </w:pPr>
      <w:proofErr w:type="gramStart"/>
      <w:r w:rsidRPr="003338D4">
        <w:rPr>
          <w:sz w:val="22"/>
        </w:rPr>
        <w:t>calculations</w:t>
      </w:r>
      <w:proofErr w:type="gramEnd"/>
      <w:r w:rsidRPr="003338D4">
        <w:rPr>
          <w:sz w:val="22"/>
        </w:rPr>
        <w:t xml:space="preserve"> of excess working capital</w:t>
      </w:r>
      <w:r>
        <w:rPr>
          <w:sz w:val="22"/>
        </w:rPr>
        <w:t>.</w:t>
      </w:r>
    </w:p>
    <w:p w:rsidR="008032CD" w:rsidRDefault="008032CD" w:rsidP="008032CD">
      <w:pPr>
        <w:rPr>
          <w:sz w:val="22"/>
        </w:rPr>
      </w:pPr>
    </w:p>
    <w:p w:rsidR="008032CD" w:rsidRPr="008032CD" w:rsidRDefault="008032CD" w:rsidP="008032CD">
      <w:pPr>
        <w:rPr>
          <w:sz w:val="22"/>
        </w:rPr>
      </w:pPr>
      <w:r>
        <w:rPr>
          <w:sz w:val="22"/>
        </w:rPr>
        <w:t>U</w:t>
      </w:r>
      <w:r w:rsidRPr="008032CD">
        <w:rPr>
          <w:sz w:val="22"/>
        </w:rPr>
        <w:t>nder section 12.1</w:t>
      </w:r>
      <w:r>
        <w:rPr>
          <w:sz w:val="22"/>
        </w:rPr>
        <w:t xml:space="preserve">4, IFMs must submitted </w:t>
      </w:r>
      <w:r w:rsidRPr="008032CD">
        <w:rPr>
          <w:sz w:val="22"/>
        </w:rPr>
        <w:t xml:space="preserve">quarterly </w:t>
      </w:r>
      <w:r>
        <w:rPr>
          <w:sz w:val="22"/>
        </w:rPr>
        <w:t xml:space="preserve">and annual </w:t>
      </w:r>
      <w:r w:rsidRPr="008032CD">
        <w:rPr>
          <w:sz w:val="22"/>
        </w:rPr>
        <w:t>financial information to the regulators, including:</w:t>
      </w:r>
    </w:p>
    <w:p w:rsidR="008032CD" w:rsidRPr="008032CD" w:rsidRDefault="008032CD" w:rsidP="008032CD">
      <w:pPr>
        <w:numPr>
          <w:ilvl w:val="0"/>
          <w:numId w:val="36"/>
        </w:numPr>
        <w:rPr>
          <w:sz w:val="22"/>
        </w:rPr>
      </w:pPr>
      <w:r>
        <w:rPr>
          <w:sz w:val="22"/>
        </w:rPr>
        <w:t>interim</w:t>
      </w:r>
      <w:r w:rsidRPr="008032CD">
        <w:rPr>
          <w:sz w:val="22"/>
        </w:rPr>
        <w:t xml:space="preserve"> </w:t>
      </w:r>
      <w:r>
        <w:rPr>
          <w:sz w:val="22"/>
        </w:rPr>
        <w:t xml:space="preserve">and annual </w:t>
      </w:r>
      <w:r w:rsidRPr="008032CD">
        <w:rPr>
          <w:sz w:val="22"/>
        </w:rPr>
        <w:t>financial statements</w:t>
      </w:r>
    </w:p>
    <w:p w:rsidR="008032CD" w:rsidRPr="008032CD" w:rsidRDefault="008032CD" w:rsidP="008032CD">
      <w:pPr>
        <w:numPr>
          <w:ilvl w:val="0"/>
          <w:numId w:val="36"/>
        </w:numPr>
        <w:rPr>
          <w:sz w:val="22"/>
        </w:rPr>
      </w:pPr>
      <w:r w:rsidRPr="008032CD">
        <w:rPr>
          <w:sz w:val="22"/>
        </w:rPr>
        <w:t>calculations of excess working capital</w:t>
      </w:r>
      <w:r>
        <w:rPr>
          <w:sz w:val="22"/>
        </w:rPr>
        <w:t>, and</w:t>
      </w:r>
    </w:p>
    <w:p w:rsidR="008032CD" w:rsidRPr="008032CD" w:rsidRDefault="008032CD" w:rsidP="008032CD">
      <w:pPr>
        <w:numPr>
          <w:ilvl w:val="0"/>
          <w:numId w:val="36"/>
        </w:numPr>
        <w:rPr>
          <w:sz w:val="22"/>
        </w:rPr>
      </w:pPr>
      <w:proofErr w:type="gramStart"/>
      <w:r w:rsidRPr="008032CD">
        <w:rPr>
          <w:sz w:val="22"/>
        </w:rPr>
        <w:t>descriptions</w:t>
      </w:r>
      <w:proofErr w:type="gramEnd"/>
      <w:r w:rsidRPr="008032CD">
        <w:rPr>
          <w:sz w:val="22"/>
        </w:rPr>
        <w:t xml:space="preserve"> of any net asset value adjustments made in respect of any </w:t>
      </w:r>
      <w:r>
        <w:rPr>
          <w:sz w:val="22"/>
        </w:rPr>
        <w:t>investment fund</w:t>
      </w:r>
      <w:r w:rsidRPr="008032CD">
        <w:rPr>
          <w:sz w:val="22"/>
        </w:rPr>
        <w:t xml:space="preserve"> for the period.</w:t>
      </w:r>
    </w:p>
    <w:p w:rsidR="008032CD" w:rsidRPr="003338D4" w:rsidRDefault="008032CD" w:rsidP="008032CD">
      <w:pPr>
        <w:rPr>
          <w:sz w:val="22"/>
        </w:rPr>
      </w:pPr>
    </w:p>
    <w:p w:rsidR="007D4EDE" w:rsidRDefault="007D4EDE">
      <w:pPr>
        <w:spacing w:after="200" w:line="276" w:lineRule="auto"/>
        <w:rPr>
          <w:b/>
          <w:sz w:val="22"/>
        </w:rPr>
      </w:pPr>
      <w:r>
        <w:rPr>
          <w:b/>
          <w:sz w:val="22"/>
        </w:rPr>
        <w:br w:type="page"/>
      </w:r>
    </w:p>
    <w:p w:rsidR="008032CD" w:rsidRPr="003338D4" w:rsidRDefault="008032CD" w:rsidP="008032CD">
      <w:pPr>
        <w:rPr>
          <w:b/>
          <w:sz w:val="22"/>
        </w:rPr>
      </w:pPr>
      <w:r w:rsidRPr="003338D4">
        <w:rPr>
          <w:b/>
          <w:sz w:val="22"/>
        </w:rPr>
        <w:lastRenderedPageBreak/>
        <w:t>Reporting required under NI 81-107</w:t>
      </w:r>
    </w:p>
    <w:p w:rsidR="008032CD" w:rsidRPr="003338D4" w:rsidRDefault="008032CD" w:rsidP="008032CD">
      <w:pPr>
        <w:rPr>
          <w:sz w:val="22"/>
        </w:rPr>
      </w:pPr>
      <w:r w:rsidRPr="003338D4">
        <w:rPr>
          <w:sz w:val="22"/>
        </w:rPr>
        <w:t xml:space="preserve">As part of the IRC’s ongoing regular assessments, it must review whether the IFM and the </w:t>
      </w:r>
      <w:r>
        <w:rPr>
          <w:sz w:val="22"/>
        </w:rPr>
        <w:t>investment fund</w:t>
      </w:r>
      <w:r w:rsidRPr="003338D4">
        <w:rPr>
          <w:sz w:val="22"/>
        </w:rPr>
        <w:t xml:space="preserve"> complied with any conditions imposed by the IRC in a recommendation or approval provided to the IFM. </w:t>
      </w:r>
      <w:r>
        <w:rPr>
          <w:sz w:val="22"/>
        </w:rPr>
        <w:t xml:space="preserve"> </w:t>
      </w:r>
      <w:r w:rsidRPr="003338D4">
        <w:rPr>
          <w:sz w:val="22"/>
        </w:rPr>
        <w:t xml:space="preserve">Any non-compliance identified by the IRC must be reported to the regulator in writing as soon as practicable. </w:t>
      </w:r>
      <w:r>
        <w:rPr>
          <w:sz w:val="22"/>
        </w:rPr>
        <w:t xml:space="preserve"> </w:t>
      </w:r>
      <w:r w:rsidRPr="003338D4">
        <w:rPr>
          <w:sz w:val="22"/>
        </w:rPr>
        <w:t>The annual report of the IRC to the security holders must be filed with the regulator.</w:t>
      </w:r>
    </w:p>
    <w:p w:rsidR="008032CD" w:rsidRDefault="008032CD" w:rsidP="000F4C55">
      <w:pPr>
        <w:rPr>
          <w:b/>
          <w:sz w:val="22"/>
        </w:rPr>
      </w:pPr>
    </w:p>
    <w:p w:rsidR="000F4C55" w:rsidRPr="000F4C55" w:rsidRDefault="000F4C55" w:rsidP="000F4C55">
      <w:pPr>
        <w:rPr>
          <w:b/>
          <w:sz w:val="22"/>
        </w:rPr>
      </w:pPr>
      <w:r w:rsidRPr="000F4C55">
        <w:rPr>
          <w:b/>
          <w:sz w:val="22"/>
        </w:rPr>
        <w:t>Continuous disclosure reviews</w:t>
      </w:r>
      <w:r w:rsidR="008032CD">
        <w:rPr>
          <w:b/>
          <w:sz w:val="22"/>
        </w:rPr>
        <w:t xml:space="preserve"> of investment funds</w:t>
      </w:r>
    </w:p>
    <w:p w:rsidR="003338D4" w:rsidRPr="003338D4" w:rsidRDefault="000F4C55">
      <w:pPr>
        <w:rPr>
          <w:sz w:val="22"/>
        </w:rPr>
      </w:pPr>
      <w:r w:rsidRPr="000F4C55">
        <w:rPr>
          <w:sz w:val="22"/>
        </w:rPr>
        <w:t xml:space="preserve">Under </w:t>
      </w:r>
      <w:r w:rsidR="008032CD">
        <w:rPr>
          <w:sz w:val="22"/>
        </w:rPr>
        <w:t>NI</w:t>
      </w:r>
      <w:r w:rsidRPr="000F4C55">
        <w:rPr>
          <w:sz w:val="22"/>
        </w:rPr>
        <w:t xml:space="preserve"> 81-106, </w:t>
      </w:r>
      <w:r w:rsidR="003C289D">
        <w:rPr>
          <w:sz w:val="22"/>
        </w:rPr>
        <w:t>investment funds</w:t>
      </w:r>
      <w:r w:rsidRPr="000F4C55">
        <w:rPr>
          <w:sz w:val="22"/>
        </w:rPr>
        <w:t xml:space="preserve"> that are reporting issuers are required to file continuous disclosure documents with the regulator, including annual and interim financial statements, the Management Report of Fund Performance (MRFP) and AIFs. </w:t>
      </w:r>
      <w:r w:rsidR="008032CD">
        <w:rPr>
          <w:sz w:val="22"/>
        </w:rPr>
        <w:t xml:space="preserve"> </w:t>
      </w:r>
      <w:r w:rsidR="003338D4" w:rsidRPr="003338D4">
        <w:rPr>
          <w:sz w:val="22"/>
        </w:rPr>
        <w:t xml:space="preserve">CSA regulators review these documents as part of their continuous disclosure reviews which may vary in scope and detail among the jurisdictions. </w:t>
      </w:r>
      <w:r w:rsidR="008032CD">
        <w:rPr>
          <w:sz w:val="22"/>
        </w:rPr>
        <w:t xml:space="preserve"> </w:t>
      </w:r>
      <w:r w:rsidR="003338D4" w:rsidRPr="003338D4">
        <w:rPr>
          <w:sz w:val="22"/>
        </w:rPr>
        <w:t xml:space="preserve">Certain CSA regulators conduct both planned and ad hoc continuous disclosure reviews. </w:t>
      </w:r>
      <w:r w:rsidR="008032CD">
        <w:rPr>
          <w:sz w:val="22"/>
        </w:rPr>
        <w:t xml:space="preserve"> </w:t>
      </w:r>
      <w:r w:rsidR="003338D4" w:rsidRPr="003338D4">
        <w:rPr>
          <w:sz w:val="22"/>
        </w:rPr>
        <w:t xml:space="preserve">In addition, some jurisdictions perform full reviews of </w:t>
      </w:r>
      <w:r w:rsidR="008032CD">
        <w:rPr>
          <w:sz w:val="22"/>
        </w:rPr>
        <w:t>investment fund</w:t>
      </w:r>
      <w:r w:rsidR="003338D4" w:rsidRPr="003338D4">
        <w:rPr>
          <w:sz w:val="22"/>
        </w:rPr>
        <w:t xml:space="preserve"> issuers on a regular basis.</w:t>
      </w:r>
    </w:p>
    <w:p w:rsidR="003338D4" w:rsidRPr="003338D4" w:rsidRDefault="003338D4" w:rsidP="003338D4">
      <w:pPr>
        <w:rPr>
          <w:sz w:val="22"/>
        </w:rPr>
      </w:pPr>
    </w:p>
    <w:p w:rsidR="003338D4" w:rsidRPr="003338D4" w:rsidRDefault="003338D4" w:rsidP="003338D4">
      <w:pPr>
        <w:rPr>
          <w:b/>
          <w:sz w:val="22"/>
        </w:rPr>
      </w:pPr>
      <w:r w:rsidRPr="003338D4">
        <w:rPr>
          <w:b/>
          <w:sz w:val="22"/>
        </w:rPr>
        <w:t>Compliance report on custody</w:t>
      </w:r>
    </w:p>
    <w:p w:rsidR="003338D4" w:rsidRPr="003338D4" w:rsidRDefault="003338D4" w:rsidP="003338D4">
      <w:pPr>
        <w:rPr>
          <w:sz w:val="22"/>
        </w:rPr>
      </w:pPr>
      <w:r w:rsidRPr="003338D4">
        <w:rPr>
          <w:sz w:val="22"/>
        </w:rPr>
        <w:t xml:space="preserve">Under section 6.7(3) of NI 81-102, </w:t>
      </w:r>
      <w:r w:rsidR="00AC4DF6">
        <w:rPr>
          <w:sz w:val="22"/>
        </w:rPr>
        <w:t>all reporting</w:t>
      </w:r>
      <w:r w:rsidR="00AC4DF6" w:rsidRPr="003338D4">
        <w:rPr>
          <w:sz w:val="22"/>
        </w:rPr>
        <w:t xml:space="preserve"> </w:t>
      </w:r>
      <w:r w:rsidR="008032CD">
        <w:rPr>
          <w:sz w:val="22"/>
        </w:rPr>
        <w:t>investment fund</w:t>
      </w:r>
      <w:r w:rsidRPr="003338D4">
        <w:rPr>
          <w:sz w:val="22"/>
        </w:rPr>
        <w:t xml:space="preserve">s must file a custodial compliance report within 30 days after the filing of their annual financial statements. </w:t>
      </w:r>
      <w:r w:rsidR="000E708D">
        <w:rPr>
          <w:sz w:val="22"/>
        </w:rPr>
        <w:t xml:space="preserve"> </w:t>
      </w:r>
      <w:r w:rsidRPr="003338D4">
        <w:rPr>
          <w:sz w:val="22"/>
        </w:rPr>
        <w:t xml:space="preserve">Section 14.6 of NI 41-101 contains the same requirement for non-conventional </w:t>
      </w:r>
      <w:r w:rsidR="008032CD">
        <w:rPr>
          <w:sz w:val="22"/>
        </w:rPr>
        <w:t>investment fund</w:t>
      </w:r>
      <w:r w:rsidRPr="003338D4">
        <w:rPr>
          <w:sz w:val="22"/>
        </w:rPr>
        <w:t>s.</w:t>
      </w:r>
    </w:p>
    <w:p w:rsidR="003338D4" w:rsidRPr="003338D4" w:rsidRDefault="003338D4" w:rsidP="003338D4">
      <w:pPr>
        <w:rPr>
          <w:sz w:val="22"/>
        </w:rPr>
      </w:pPr>
    </w:p>
    <w:p w:rsidR="003338D4" w:rsidRPr="003338D4" w:rsidRDefault="003338D4" w:rsidP="003338D4">
      <w:pPr>
        <w:rPr>
          <w:b/>
          <w:sz w:val="22"/>
        </w:rPr>
      </w:pPr>
      <w:r w:rsidRPr="003338D4">
        <w:rPr>
          <w:b/>
          <w:sz w:val="22"/>
        </w:rPr>
        <w:t>Compliance report on purchases, redemptions and commingling</w:t>
      </w:r>
    </w:p>
    <w:p w:rsidR="000E708D" w:rsidRPr="003338D4" w:rsidRDefault="003338D4" w:rsidP="000E708D">
      <w:pPr>
        <w:rPr>
          <w:sz w:val="22"/>
        </w:rPr>
      </w:pPr>
      <w:r w:rsidRPr="003338D4">
        <w:rPr>
          <w:sz w:val="22"/>
        </w:rPr>
        <w:t xml:space="preserve">Under Part 12 of NI 81-102, </w:t>
      </w:r>
      <w:r w:rsidR="008032CD">
        <w:rPr>
          <w:sz w:val="22"/>
        </w:rPr>
        <w:t>investment funds</w:t>
      </w:r>
      <w:r w:rsidRPr="003338D4">
        <w:rPr>
          <w:sz w:val="22"/>
        </w:rPr>
        <w:t xml:space="preserve"> that do not have a principal distributor must complete and file a compliance report describing their compliance during their last financial year with the requirements of Part 9 (purchases), Part 10 (redemptions) and Part 11 (commingling of assets). </w:t>
      </w:r>
    </w:p>
    <w:p w:rsidR="003338D4" w:rsidRPr="003338D4" w:rsidRDefault="003338D4" w:rsidP="003338D4">
      <w:pPr>
        <w:rPr>
          <w:sz w:val="22"/>
        </w:rPr>
      </w:pPr>
    </w:p>
    <w:p w:rsidR="00987B7D" w:rsidRDefault="00987B7D">
      <w:pPr>
        <w:rPr>
          <w:sz w:val="22"/>
        </w:rPr>
      </w:pPr>
    </w:p>
    <w:p w:rsidR="005175DB" w:rsidRDefault="005175DB">
      <w:pPr>
        <w:spacing w:after="200" w:line="276" w:lineRule="auto"/>
        <w:rPr>
          <w:sz w:val="22"/>
        </w:rPr>
      </w:pPr>
      <w:r>
        <w:rPr>
          <w:sz w:val="22"/>
        </w:rPr>
        <w:br w:type="page"/>
      </w:r>
    </w:p>
    <w:p w:rsidR="00F23C09" w:rsidRPr="00F23C09" w:rsidRDefault="00F23C09" w:rsidP="00F23C09">
      <w:pPr>
        <w:jc w:val="center"/>
        <w:rPr>
          <w:b/>
          <w:sz w:val="22"/>
        </w:rPr>
      </w:pPr>
      <w:r w:rsidRPr="00F23C09">
        <w:rPr>
          <w:b/>
          <w:sz w:val="22"/>
        </w:rPr>
        <w:lastRenderedPageBreak/>
        <w:t xml:space="preserve">Appendix </w:t>
      </w:r>
      <w:r>
        <w:rPr>
          <w:b/>
          <w:sz w:val="22"/>
        </w:rPr>
        <w:t>A</w:t>
      </w:r>
    </w:p>
    <w:p w:rsidR="00F23C09" w:rsidRPr="00F23C09" w:rsidRDefault="00987B7D" w:rsidP="00F23C09">
      <w:pPr>
        <w:jc w:val="center"/>
        <w:rPr>
          <w:b/>
          <w:sz w:val="22"/>
        </w:rPr>
      </w:pPr>
      <w:r>
        <w:rPr>
          <w:b/>
          <w:sz w:val="22"/>
        </w:rPr>
        <w:t>Types</w:t>
      </w:r>
      <w:r w:rsidR="00F23C09" w:rsidRPr="00F23C09">
        <w:rPr>
          <w:b/>
          <w:sz w:val="22"/>
        </w:rPr>
        <w:t xml:space="preserve"> of </w:t>
      </w:r>
      <w:r w:rsidR="00F23C09">
        <w:rPr>
          <w:b/>
          <w:sz w:val="22"/>
        </w:rPr>
        <w:t>investment funds</w:t>
      </w:r>
      <w:r w:rsidR="00F23C09" w:rsidRPr="00F23C09">
        <w:rPr>
          <w:b/>
          <w:sz w:val="22"/>
        </w:rPr>
        <w:t xml:space="preserve"> and applicable legislation</w:t>
      </w:r>
    </w:p>
    <w:p w:rsidR="00F23C09" w:rsidRPr="00F23C09" w:rsidRDefault="00F23C09" w:rsidP="00F23C09">
      <w:pPr>
        <w:rPr>
          <w:b/>
          <w:sz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700"/>
        <w:gridCol w:w="2880"/>
      </w:tblGrid>
      <w:tr w:rsidR="00F23C09" w:rsidRPr="004E062B" w:rsidTr="00222B8A">
        <w:trPr>
          <w:trHeight w:val="539"/>
        </w:trPr>
        <w:tc>
          <w:tcPr>
            <w:tcW w:w="2808" w:type="dxa"/>
            <w:shd w:val="clear" w:color="auto" w:fill="F3F3F3"/>
          </w:tcPr>
          <w:p w:rsidR="00F23C09" w:rsidRPr="00222B8A" w:rsidRDefault="00F23C09" w:rsidP="00F23C09">
            <w:pPr>
              <w:rPr>
                <w:b/>
                <w:sz w:val="20"/>
                <w:szCs w:val="20"/>
              </w:rPr>
            </w:pPr>
          </w:p>
        </w:tc>
        <w:tc>
          <w:tcPr>
            <w:tcW w:w="2700" w:type="dxa"/>
            <w:shd w:val="clear" w:color="auto" w:fill="F3F3F3"/>
          </w:tcPr>
          <w:p w:rsidR="00F23C09" w:rsidRPr="00222B8A" w:rsidRDefault="00F23C09" w:rsidP="005175DB">
            <w:pPr>
              <w:jc w:val="center"/>
              <w:rPr>
                <w:b/>
                <w:sz w:val="20"/>
                <w:szCs w:val="20"/>
              </w:rPr>
            </w:pPr>
            <w:r w:rsidRPr="00222B8A">
              <w:rPr>
                <w:b/>
                <w:sz w:val="20"/>
                <w:szCs w:val="20"/>
              </w:rPr>
              <w:t>Conventional Investment Fund</w:t>
            </w:r>
          </w:p>
        </w:tc>
        <w:tc>
          <w:tcPr>
            <w:tcW w:w="2880" w:type="dxa"/>
            <w:shd w:val="clear" w:color="auto" w:fill="F3F3F3"/>
          </w:tcPr>
          <w:p w:rsidR="00F23C09" w:rsidRPr="00222B8A" w:rsidRDefault="00F23C09" w:rsidP="005175DB">
            <w:pPr>
              <w:jc w:val="center"/>
              <w:rPr>
                <w:b/>
                <w:sz w:val="20"/>
                <w:szCs w:val="20"/>
              </w:rPr>
            </w:pPr>
            <w:r w:rsidRPr="00222B8A">
              <w:rPr>
                <w:b/>
                <w:sz w:val="20"/>
                <w:szCs w:val="20"/>
              </w:rPr>
              <w:t>Non-conventional Investment Fund</w:t>
            </w:r>
          </w:p>
        </w:tc>
      </w:tr>
      <w:tr w:rsidR="00F23C09" w:rsidRPr="004E062B" w:rsidTr="00222B8A">
        <w:trPr>
          <w:trHeight w:val="548"/>
        </w:trPr>
        <w:tc>
          <w:tcPr>
            <w:tcW w:w="2808" w:type="dxa"/>
          </w:tcPr>
          <w:p w:rsidR="00F23C09" w:rsidRPr="00222B8A" w:rsidRDefault="00F23C09" w:rsidP="00F23C09">
            <w:pPr>
              <w:rPr>
                <w:b/>
                <w:sz w:val="20"/>
                <w:szCs w:val="20"/>
              </w:rPr>
            </w:pPr>
            <w:r w:rsidRPr="00222B8A">
              <w:rPr>
                <w:b/>
                <w:sz w:val="20"/>
                <w:szCs w:val="20"/>
              </w:rPr>
              <w:t>Prospectus Requirements</w:t>
            </w:r>
          </w:p>
        </w:tc>
        <w:tc>
          <w:tcPr>
            <w:tcW w:w="2700" w:type="dxa"/>
          </w:tcPr>
          <w:p w:rsidR="00F23C09" w:rsidRPr="00222B8A" w:rsidRDefault="00F23C09" w:rsidP="00F23C09">
            <w:pPr>
              <w:rPr>
                <w:b/>
                <w:sz w:val="20"/>
                <w:szCs w:val="20"/>
              </w:rPr>
            </w:pPr>
          </w:p>
        </w:tc>
        <w:tc>
          <w:tcPr>
            <w:tcW w:w="2880" w:type="dxa"/>
          </w:tcPr>
          <w:p w:rsidR="00F23C09" w:rsidRPr="00222B8A" w:rsidRDefault="00F23C09" w:rsidP="00F23C09">
            <w:pPr>
              <w:rPr>
                <w:sz w:val="20"/>
                <w:szCs w:val="20"/>
              </w:rPr>
            </w:pPr>
          </w:p>
        </w:tc>
      </w:tr>
      <w:tr w:rsidR="00F23C09" w:rsidRPr="004E062B" w:rsidTr="00222B8A">
        <w:trPr>
          <w:trHeight w:val="656"/>
        </w:trPr>
        <w:tc>
          <w:tcPr>
            <w:tcW w:w="2808" w:type="dxa"/>
          </w:tcPr>
          <w:p w:rsidR="00F23C09" w:rsidRPr="00222B8A" w:rsidRDefault="00F23C09" w:rsidP="00F23C09">
            <w:pPr>
              <w:rPr>
                <w:i/>
                <w:sz w:val="20"/>
                <w:szCs w:val="20"/>
              </w:rPr>
            </w:pPr>
            <w:r w:rsidRPr="00222B8A">
              <w:rPr>
                <w:sz w:val="20"/>
                <w:szCs w:val="20"/>
              </w:rPr>
              <w:t xml:space="preserve">NI 41-101 </w:t>
            </w:r>
            <w:r w:rsidRPr="00222B8A">
              <w:rPr>
                <w:i/>
                <w:sz w:val="20"/>
                <w:szCs w:val="20"/>
              </w:rPr>
              <w:t>General Prospectus Requirements</w:t>
            </w:r>
          </w:p>
        </w:tc>
        <w:tc>
          <w:tcPr>
            <w:tcW w:w="2700" w:type="dxa"/>
          </w:tcPr>
          <w:p w:rsidR="00F23C09" w:rsidRPr="00222B8A" w:rsidRDefault="00F23C09" w:rsidP="00F23C09">
            <w:pPr>
              <w:rPr>
                <w:b/>
                <w:sz w:val="20"/>
                <w:szCs w:val="20"/>
              </w:rPr>
            </w:pPr>
          </w:p>
        </w:tc>
        <w:tc>
          <w:tcPr>
            <w:tcW w:w="2880" w:type="dxa"/>
          </w:tcPr>
          <w:p w:rsidR="004E062B" w:rsidRPr="00222B8A" w:rsidRDefault="004E062B" w:rsidP="00F23C09">
            <w:pPr>
              <w:rPr>
                <w:sz w:val="20"/>
                <w:szCs w:val="20"/>
              </w:rPr>
            </w:pPr>
          </w:p>
          <w:p w:rsidR="00F23C09" w:rsidRPr="00222B8A" w:rsidRDefault="00F23C09" w:rsidP="005175DB">
            <w:pPr>
              <w:jc w:val="center"/>
              <w:rPr>
                <w:b/>
                <w:sz w:val="20"/>
                <w:szCs w:val="20"/>
              </w:rPr>
            </w:pPr>
            <w:r w:rsidRPr="00222B8A">
              <w:rPr>
                <w:b/>
                <w:sz w:val="20"/>
                <w:szCs w:val="20"/>
              </w:rPr>
              <w:t>√</w:t>
            </w:r>
          </w:p>
        </w:tc>
      </w:tr>
      <w:tr w:rsidR="00F23C09" w:rsidRPr="004E062B" w:rsidTr="00F23C09">
        <w:tc>
          <w:tcPr>
            <w:tcW w:w="2808" w:type="dxa"/>
          </w:tcPr>
          <w:p w:rsidR="00F23C09" w:rsidRPr="00222B8A" w:rsidRDefault="00F23C09" w:rsidP="00F23C09">
            <w:pPr>
              <w:rPr>
                <w:i/>
                <w:sz w:val="20"/>
                <w:szCs w:val="20"/>
              </w:rPr>
            </w:pPr>
            <w:r w:rsidRPr="00222B8A">
              <w:rPr>
                <w:sz w:val="20"/>
                <w:szCs w:val="20"/>
              </w:rPr>
              <w:t xml:space="preserve">NI 81-101 </w:t>
            </w:r>
            <w:r w:rsidRPr="00222B8A">
              <w:rPr>
                <w:i/>
                <w:sz w:val="20"/>
                <w:szCs w:val="20"/>
              </w:rPr>
              <w:t>Mutual Fund Prospectus Disclosure</w:t>
            </w:r>
          </w:p>
        </w:tc>
        <w:tc>
          <w:tcPr>
            <w:tcW w:w="2700" w:type="dxa"/>
          </w:tcPr>
          <w:p w:rsidR="004E062B" w:rsidRDefault="004E062B"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c>
          <w:tcPr>
            <w:tcW w:w="2880" w:type="dxa"/>
          </w:tcPr>
          <w:p w:rsidR="00F23C09" w:rsidRPr="00222B8A" w:rsidRDefault="00F23C09" w:rsidP="00F23C09">
            <w:pPr>
              <w:rPr>
                <w:b/>
                <w:sz w:val="20"/>
                <w:szCs w:val="20"/>
              </w:rPr>
            </w:pPr>
          </w:p>
        </w:tc>
      </w:tr>
      <w:tr w:rsidR="00F23C09" w:rsidRPr="004E062B" w:rsidTr="00F23C09">
        <w:tc>
          <w:tcPr>
            <w:tcW w:w="2808" w:type="dxa"/>
          </w:tcPr>
          <w:p w:rsidR="00F23C09" w:rsidRPr="00222B8A" w:rsidRDefault="00F23C09" w:rsidP="00F23C09">
            <w:pPr>
              <w:rPr>
                <w:b/>
                <w:sz w:val="20"/>
                <w:szCs w:val="20"/>
              </w:rPr>
            </w:pPr>
            <w:r w:rsidRPr="00222B8A">
              <w:rPr>
                <w:b/>
                <w:sz w:val="20"/>
                <w:szCs w:val="20"/>
              </w:rPr>
              <w:t>Operational Requirements</w:t>
            </w:r>
          </w:p>
        </w:tc>
        <w:tc>
          <w:tcPr>
            <w:tcW w:w="2700" w:type="dxa"/>
          </w:tcPr>
          <w:p w:rsidR="00F23C09" w:rsidRPr="00222B8A" w:rsidRDefault="00F23C09" w:rsidP="005175DB">
            <w:pPr>
              <w:jc w:val="center"/>
              <w:rPr>
                <w:b/>
                <w:sz w:val="20"/>
                <w:szCs w:val="20"/>
              </w:rPr>
            </w:pPr>
          </w:p>
        </w:tc>
        <w:tc>
          <w:tcPr>
            <w:tcW w:w="2880" w:type="dxa"/>
          </w:tcPr>
          <w:p w:rsidR="00F23C09" w:rsidRPr="00222B8A" w:rsidRDefault="00F23C09" w:rsidP="00F23C09">
            <w:pPr>
              <w:rPr>
                <w:b/>
                <w:sz w:val="20"/>
                <w:szCs w:val="20"/>
              </w:rPr>
            </w:pPr>
          </w:p>
        </w:tc>
      </w:tr>
      <w:tr w:rsidR="00F23C09" w:rsidRPr="004E062B" w:rsidTr="00F23C09">
        <w:tc>
          <w:tcPr>
            <w:tcW w:w="2808" w:type="dxa"/>
          </w:tcPr>
          <w:p w:rsidR="00F23C09" w:rsidRPr="00222B8A" w:rsidRDefault="00F23C09" w:rsidP="00F23C09">
            <w:pPr>
              <w:rPr>
                <w:i/>
                <w:sz w:val="20"/>
                <w:szCs w:val="20"/>
              </w:rPr>
            </w:pPr>
            <w:r w:rsidRPr="00222B8A">
              <w:rPr>
                <w:sz w:val="20"/>
                <w:szCs w:val="20"/>
              </w:rPr>
              <w:t xml:space="preserve">NI 81-102 </w:t>
            </w:r>
            <w:r w:rsidRPr="00222B8A">
              <w:rPr>
                <w:i/>
                <w:sz w:val="20"/>
                <w:szCs w:val="20"/>
              </w:rPr>
              <w:t xml:space="preserve">Mutual Funds </w:t>
            </w:r>
          </w:p>
        </w:tc>
        <w:tc>
          <w:tcPr>
            <w:tcW w:w="270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c>
          <w:tcPr>
            <w:tcW w:w="288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Notes 1, 2</w:t>
            </w:r>
          </w:p>
        </w:tc>
      </w:tr>
      <w:tr w:rsidR="00F23C09" w:rsidRPr="004E062B" w:rsidTr="00F23C09">
        <w:tc>
          <w:tcPr>
            <w:tcW w:w="2808" w:type="dxa"/>
          </w:tcPr>
          <w:p w:rsidR="00F23C09" w:rsidRPr="00222B8A" w:rsidRDefault="00F23C09" w:rsidP="00F23C09">
            <w:pPr>
              <w:rPr>
                <w:i/>
                <w:sz w:val="20"/>
                <w:szCs w:val="20"/>
              </w:rPr>
            </w:pPr>
            <w:r w:rsidRPr="00222B8A">
              <w:rPr>
                <w:sz w:val="20"/>
                <w:szCs w:val="20"/>
              </w:rPr>
              <w:t xml:space="preserve">NI 81-105 </w:t>
            </w:r>
            <w:r w:rsidRPr="00222B8A">
              <w:rPr>
                <w:i/>
                <w:sz w:val="20"/>
                <w:szCs w:val="20"/>
              </w:rPr>
              <w:t>Mutual Fund Sales Practices</w:t>
            </w:r>
          </w:p>
        </w:tc>
        <w:tc>
          <w:tcPr>
            <w:tcW w:w="270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c>
          <w:tcPr>
            <w:tcW w:w="2880" w:type="dxa"/>
          </w:tcPr>
          <w:p w:rsidR="00F23C09" w:rsidRPr="00222B8A" w:rsidRDefault="00F23C09" w:rsidP="005175DB">
            <w:pPr>
              <w:jc w:val="center"/>
              <w:rPr>
                <w:b/>
                <w:sz w:val="20"/>
                <w:szCs w:val="20"/>
              </w:rPr>
            </w:pPr>
          </w:p>
        </w:tc>
      </w:tr>
      <w:tr w:rsidR="00F23C09" w:rsidRPr="004E062B" w:rsidTr="00F23C09">
        <w:tc>
          <w:tcPr>
            <w:tcW w:w="2808" w:type="dxa"/>
          </w:tcPr>
          <w:p w:rsidR="00F23C09" w:rsidRPr="00222B8A" w:rsidRDefault="00F23C09" w:rsidP="00F23C09">
            <w:pPr>
              <w:rPr>
                <w:i/>
                <w:sz w:val="20"/>
                <w:szCs w:val="20"/>
              </w:rPr>
            </w:pPr>
            <w:r w:rsidRPr="00222B8A">
              <w:rPr>
                <w:sz w:val="20"/>
                <w:szCs w:val="20"/>
              </w:rPr>
              <w:t xml:space="preserve">NI 81-106 </w:t>
            </w:r>
            <w:r w:rsidRPr="00222B8A">
              <w:rPr>
                <w:i/>
                <w:sz w:val="20"/>
                <w:szCs w:val="20"/>
              </w:rPr>
              <w:t>Investment Fund Continuous Disclosure</w:t>
            </w:r>
          </w:p>
        </w:tc>
        <w:tc>
          <w:tcPr>
            <w:tcW w:w="270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c>
          <w:tcPr>
            <w:tcW w:w="288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r>
      <w:tr w:rsidR="00F23C09" w:rsidRPr="004E062B" w:rsidTr="00F23C09">
        <w:tc>
          <w:tcPr>
            <w:tcW w:w="2808" w:type="dxa"/>
          </w:tcPr>
          <w:p w:rsidR="00F23C09" w:rsidRPr="00222B8A" w:rsidRDefault="00F23C09" w:rsidP="00F23C09">
            <w:pPr>
              <w:rPr>
                <w:i/>
                <w:sz w:val="20"/>
                <w:szCs w:val="20"/>
              </w:rPr>
            </w:pPr>
            <w:r w:rsidRPr="00222B8A">
              <w:rPr>
                <w:sz w:val="20"/>
                <w:szCs w:val="20"/>
              </w:rPr>
              <w:t xml:space="preserve">NI 81-107 </w:t>
            </w:r>
            <w:r w:rsidRPr="00222B8A">
              <w:rPr>
                <w:i/>
                <w:sz w:val="20"/>
                <w:szCs w:val="20"/>
              </w:rPr>
              <w:t>Independent Review Committee for Investment Funds</w:t>
            </w:r>
          </w:p>
        </w:tc>
        <w:tc>
          <w:tcPr>
            <w:tcW w:w="270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c>
          <w:tcPr>
            <w:tcW w:w="2880" w:type="dxa"/>
          </w:tcPr>
          <w:p w:rsidR="00F23C09" w:rsidRPr="00222B8A" w:rsidRDefault="00F23C09" w:rsidP="005175DB">
            <w:pPr>
              <w:jc w:val="center"/>
              <w:rPr>
                <w:b/>
                <w:sz w:val="20"/>
                <w:szCs w:val="20"/>
              </w:rPr>
            </w:pPr>
          </w:p>
          <w:p w:rsidR="00F23C09" w:rsidRPr="00222B8A" w:rsidRDefault="00F23C09" w:rsidP="005175DB">
            <w:pPr>
              <w:jc w:val="center"/>
              <w:rPr>
                <w:b/>
                <w:sz w:val="20"/>
                <w:szCs w:val="20"/>
              </w:rPr>
            </w:pPr>
            <w:r w:rsidRPr="00222B8A">
              <w:rPr>
                <w:b/>
                <w:sz w:val="20"/>
                <w:szCs w:val="20"/>
              </w:rPr>
              <w:t>√</w:t>
            </w:r>
          </w:p>
        </w:tc>
      </w:tr>
    </w:tbl>
    <w:p w:rsidR="00F23C09" w:rsidRPr="00222B8A" w:rsidRDefault="00F23C09" w:rsidP="00F23C09">
      <w:pPr>
        <w:rPr>
          <w:b/>
          <w:sz w:val="20"/>
          <w:szCs w:val="20"/>
        </w:rPr>
      </w:pPr>
    </w:p>
    <w:p w:rsidR="00F23C09" w:rsidRPr="00222B8A" w:rsidRDefault="00F23C09" w:rsidP="00F23C09">
      <w:pPr>
        <w:rPr>
          <w:b/>
          <w:sz w:val="20"/>
          <w:szCs w:val="20"/>
        </w:rPr>
      </w:pPr>
      <w:r w:rsidRPr="00222B8A">
        <w:rPr>
          <w:b/>
          <w:sz w:val="20"/>
          <w:szCs w:val="20"/>
        </w:rPr>
        <w:t>Notes</w:t>
      </w:r>
    </w:p>
    <w:p w:rsidR="00F23C09" w:rsidRPr="00222B8A" w:rsidRDefault="00F23C09" w:rsidP="00F23C09">
      <w:pPr>
        <w:rPr>
          <w:sz w:val="20"/>
          <w:szCs w:val="20"/>
        </w:rPr>
      </w:pPr>
      <w:r w:rsidRPr="00222B8A">
        <w:rPr>
          <w:b/>
          <w:sz w:val="20"/>
          <w:szCs w:val="20"/>
        </w:rPr>
        <w:t>1.</w:t>
      </w:r>
      <w:r w:rsidRPr="00222B8A">
        <w:rPr>
          <w:sz w:val="20"/>
          <w:szCs w:val="20"/>
        </w:rPr>
        <w:t xml:space="preserve">  A non-conventional </w:t>
      </w:r>
      <w:r w:rsidR="005175DB" w:rsidRPr="00222B8A">
        <w:rPr>
          <w:sz w:val="20"/>
          <w:szCs w:val="20"/>
        </w:rPr>
        <w:t>investment fund</w:t>
      </w:r>
      <w:r w:rsidRPr="00222B8A">
        <w:rPr>
          <w:sz w:val="20"/>
          <w:szCs w:val="20"/>
        </w:rPr>
        <w:t xml:space="preserve"> that is redeemable on demand for a proportionate interest of the fund’s net asset value is considered to be a mutual fund and is subject to the same operational requirements as conventional </w:t>
      </w:r>
      <w:r w:rsidR="005175DB" w:rsidRPr="00222B8A">
        <w:rPr>
          <w:sz w:val="20"/>
          <w:szCs w:val="20"/>
        </w:rPr>
        <w:t>investment fund</w:t>
      </w:r>
      <w:r w:rsidRPr="00222B8A">
        <w:rPr>
          <w:sz w:val="20"/>
          <w:szCs w:val="20"/>
        </w:rPr>
        <w:t xml:space="preserve">s. Often, this type of non-conventional </w:t>
      </w:r>
      <w:r w:rsidR="005175DB" w:rsidRPr="00222B8A">
        <w:rPr>
          <w:sz w:val="20"/>
          <w:szCs w:val="20"/>
        </w:rPr>
        <w:t>investment fund</w:t>
      </w:r>
      <w:r w:rsidRPr="00222B8A">
        <w:rPr>
          <w:sz w:val="20"/>
          <w:szCs w:val="20"/>
        </w:rPr>
        <w:t xml:space="preserve"> will apply for an exemption from some of the requirements of NI 81-102 in order to operate as a listed </w:t>
      </w:r>
      <w:r w:rsidR="005175DB" w:rsidRPr="00222B8A">
        <w:rPr>
          <w:sz w:val="20"/>
          <w:szCs w:val="20"/>
        </w:rPr>
        <w:t>investment fund</w:t>
      </w:r>
      <w:r w:rsidRPr="00222B8A">
        <w:rPr>
          <w:sz w:val="20"/>
          <w:szCs w:val="20"/>
        </w:rPr>
        <w:t>.</w:t>
      </w:r>
    </w:p>
    <w:p w:rsidR="00F23C09" w:rsidRPr="00222B8A" w:rsidRDefault="00F23C09" w:rsidP="00F23C09">
      <w:pPr>
        <w:rPr>
          <w:sz w:val="20"/>
          <w:szCs w:val="20"/>
        </w:rPr>
      </w:pPr>
    </w:p>
    <w:p w:rsidR="004E062B" w:rsidRDefault="00F23C09" w:rsidP="007E2DA9">
      <w:pPr>
        <w:rPr>
          <w:sz w:val="22"/>
        </w:rPr>
      </w:pPr>
      <w:r w:rsidRPr="00222B8A">
        <w:rPr>
          <w:b/>
          <w:sz w:val="20"/>
          <w:szCs w:val="20"/>
        </w:rPr>
        <w:t>2.</w:t>
      </w:r>
      <w:r w:rsidRPr="00222B8A">
        <w:rPr>
          <w:sz w:val="20"/>
          <w:szCs w:val="20"/>
        </w:rPr>
        <w:t xml:space="preserve">  </w:t>
      </w:r>
      <w:r w:rsidR="007F598F">
        <w:rPr>
          <w:sz w:val="20"/>
          <w:szCs w:val="20"/>
        </w:rPr>
        <w:t>A</w:t>
      </w:r>
      <w:r w:rsidRPr="00222B8A">
        <w:rPr>
          <w:sz w:val="20"/>
          <w:szCs w:val="20"/>
        </w:rPr>
        <w:t>mendments to NI 81-102 introduce operational requirements for non-redeemable investment funds analogous to those applicable to mutual funds in NI 81-102 to establish a base level of protections for investors of non-redeemable investment funds. The operational requirements enhance investor protection and mitigate the potential for regulatory arbitrage within the current investment fund regulatory regime. This make</w:t>
      </w:r>
      <w:r w:rsidR="007F598F">
        <w:rPr>
          <w:sz w:val="20"/>
          <w:szCs w:val="20"/>
        </w:rPr>
        <w:t>s</w:t>
      </w:r>
      <w:r w:rsidRPr="00222B8A">
        <w:rPr>
          <w:sz w:val="20"/>
          <w:szCs w:val="20"/>
        </w:rPr>
        <w:t xml:space="preserve"> the investment fund regulatory framework in Canada more consistent, fair and functional across the spectrum of investment fund products, as investors benefit from similar protections regardless of whether they purchased an investment fund product structured as a mutual fund or a non-redeemable investment fund. The amendments also increase the efficiency of the non-redeemable investment fund industry by providing certainty for the basic operational requirements that must be followed by non-redeemable investment funds.</w:t>
      </w:r>
    </w:p>
    <w:sectPr w:rsidR="004E062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86" w:rsidRDefault="00142D86" w:rsidP="00A8011F">
      <w:pPr>
        <w:spacing w:after="0"/>
      </w:pPr>
      <w:r>
        <w:separator/>
      </w:r>
    </w:p>
  </w:endnote>
  <w:endnote w:type="continuationSeparator" w:id="0">
    <w:p w:rsidR="00142D86" w:rsidRDefault="00142D86" w:rsidP="00A80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56395"/>
      <w:docPartObj>
        <w:docPartGallery w:val="Page Numbers (Bottom of Page)"/>
        <w:docPartUnique/>
      </w:docPartObj>
    </w:sdtPr>
    <w:sdtEndPr>
      <w:rPr>
        <w:noProof/>
      </w:rPr>
    </w:sdtEndPr>
    <w:sdtContent>
      <w:p w:rsidR="00AC69AA" w:rsidRDefault="00AC69AA">
        <w:pPr>
          <w:pStyle w:val="Footer"/>
          <w:jc w:val="center"/>
        </w:pPr>
        <w:r>
          <w:fldChar w:fldCharType="begin"/>
        </w:r>
        <w:r>
          <w:instrText xml:space="preserve"> PAGE   \* MERGEFORMAT </w:instrText>
        </w:r>
        <w:r>
          <w:fldChar w:fldCharType="separate"/>
        </w:r>
        <w:r w:rsidR="00E26938">
          <w:rPr>
            <w:noProof/>
          </w:rPr>
          <w:t>2</w:t>
        </w:r>
        <w:r>
          <w:rPr>
            <w:noProof/>
          </w:rPr>
          <w:fldChar w:fldCharType="end"/>
        </w:r>
      </w:p>
    </w:sdtContent>
  </w:sdt>
  <w:p w:rsidR="00AC69AA" w:rsidRDefault="00AC6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86" w:rsidRDefault="00142D86" w:rsidP="00A8011F">
      <w:pPr>
        <w:spacing w:after="0"/>
      </w:pPr>
      <w:r>
        <w:separator/>
      </w:r>
    </w:p>
  </w:footnote>
  <w:footnote w:type="continuationSeparator" w:id="0">
    <w:p w:rsidR="00142D86" w:rsidRDefault="00142D86" w:rsidP="00A8011F">
      <w:pPr>
        <w:spacing w:after="0"/>
      </w:pPr>
      <w:r>
        <w:continuationSeparator/>
      </w:r>
    </w:p>
  </w:footnote>
  <w:footnote w:id="1">
    <w:p w:rsidR="00205309" w:rsidRPr="00017FEE" w:rsidRDefault="00205309" w:rsidP="00205309">
      <w:pPr>
        <w:pStyle w:val="FootnoteText"/>
        <w:rPr>
          <w:sz w:val="22"/>
          <w:szCs w:val="22"/>
        </w:rPr>
      </w:pPr>
      <w:r>
        <w:rPr>
          <w:rStyle w:val="FootnoteReference"/>
        </w:rPr>
        <w:footnoteRef/>
      </w:r>
      <w:r>
        <w:t xml:space="preserve"> </w:t>
      </w:r>
      <w:r w:rsidRPr="00361D6B">
        <w:t>The Investment Industry Regulatory Organization of Canada is the national self-regulatory organization (</w:t>
      </w:r>
      <w:r w:rsidRPr="00361D6B">
        <w:rPr>
          <w:b/>
        </w:rPr>
        <w:t>SRO</w:t>
      </w:r>
      <w:r w:rsidRPr="00361D6B">
        <w:t>) which oversees all investment dealers and trading activity on debt and equity marketplaces in Canada.</w:t>
      </w:r>
      <w:r w:rsidRPr="00017FEE">
        <w:rPr>
          <w:sz w:val="22"/>
          <w:szCs w:val="22"/>
        </w:rPr>
        <w:t xml:space="preserve"> </w:t>
      </w:r>
    </w:p>
  </w:footnote>
  <w:footnote w:id="2">
    <w:p w:rsidR="00C45544" w:rsidRPr="00361D6B" w:rsidRDefault="00C45544">
      <w:pPr>
        <w:pStyle w:val="FootnoteText"/>
        <w:rPr>
          <w:lang w:val="en-US"/>
        </w:rPr>
      </w:pPr>
      <w:r>
        <w:rPr>
          <w:rStyle w:val="FootnoteReference"/>
        </w:rPr>
        <w:footnoteRef/>
      </w:r>
      <w:r>
        <w:t xml:space="preserve"> </w:t>
      </w:r>
      <w:r w:rsidRPr="00C45544">
        <w:t>The Mutual Fun</w:t>
      </w:r>
      <w:r>
        <w:t>d Dealers Association of Canada</w:t>
      </w:r>
      <w:r w:rsidRPr="00C45544">
        <w:t xml:space="preserve"> is the national </w:t>
      </w:r>
      <w:r>
        <w:t>SRO</w:t>
      </w:r>
      <w:r w:rsidRPr="00C45544">
        <w:t xml:space="preserve"> for the distribution side of the Canadian mutual fund industry.</w:t>
      </w:r>
    </w:p>
  </w:footnote>
  <w:footnote w:id="3">
    <w:p w:rsidR="002433AA" w:rsidRPr="00A97ECC" w:rsidRDefault="002433AA">
      <w:pPr>
        <w:pStyle w:val="FootnoteText"/>
        <w:rPr>
          <w:lang w:val="en-US"/>
        </w:rPr>
      </w:pPr>
      <w:r>
        <w:rPr>
          <w:rStyle w:val="FootnoteReference"/>
        </w:rPr>
        <w:footnoteRef/>
      </w:r>
      <w:r>
        <w:t xml:space="preserve"> </w:t>
      </w:r>
      <w:r>
        <w:rPr>
          <w:lang w:val="en-US"/>
        </w:rPr>
        <w:t xml:space="preserve"> For registered firms that are members of IIROC or the MFDA</w:t>
      </w:r>
      <w:r w:rsidR="008D2741">
        <w:rPr>
          <w:lang w:val="en-US"/>
        </w:rPr>
        <w:t>,</w:t>
      </w:r>
      <w:r>
        <w:rPr>
          <w:lang w:val="en-US"/>
        </w:rPr>
        <w:t xml:space="preserve"> some of the NI 31-103 requirements, such as </w:t>
      </w:r>
      <w:r>
        <w:rPr>
          <w:rFonts w:ascii="Arial" w:hAnsi="Arial" w:cs="Arial"/>
        </w:rPr>
        <w:t xml:space="preserve">minimum </w:t>
      </w:r>
      <w:r w:rsidRPr="009A5628">
        <w:rPr>
          <w:rFonts w:ascii="Arial" w:hAnsi="Arial" w:cs="Arial"/>
        </w:rPr>
        <w:t>capital requirements</w:t>
      </w:r>
      <w:r>
        <w:rPr>
          <w:rFonts w:ascii="Arial" w:hAnsi="Arial" w:cs="Arial"/>
        </w:rPr>
        <w:t xml:space="preserve">, insurance, custodian, and the filing of annual </w:t>
      </w:r>
      <w:r w:rsidRPr="009A5628">
        <w:rPr>
          <w:rFonts w:ascii="Arial" w:hAnsi="Arial" w:cs="Arial"/>
        </w:rPr>
        <w:t>financial statements</w:t>
      </w:r>
      <w:r>
        <w:rPr>
          <w:rFonts w:ascii="Arial" w:hAnsi="Arial" w:cs="Arial"/>
        </w:rPr>
        <w:t xml:space="preserve"> and </w:t>
      </w:r>
      <w:r w:rsidRPr="009A5628">
        <w:rPr>
          <w:rFonts w:ascii="Arial" w:hAnsi="Arial" w:cs="Arial"/>
        </w:rPr>
        <w:t>interim financial information</w:t>
      </w:r>
      <w:r>
        <w:rPr>
          <w:rFonts w:ascii="Arial" w:hAnsi="Arial" w:cs="Arial"/>
        </w:rPr>
        <w:t xml:space="preserve"> with the regulator are found in the rules of the respective SRO.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38" w:rsidRDefault="00E26938">
    <w:pPr>
      <w:pStyle w:val="Header"/>
    </w:pPr>
    <w:r>
      <w:t>12/01/2015</w:t>
    </w:r>
  </w:p>
  <w:sdt>
    <w:sdtPr>
      <w:id w:val="-381180004"/>
      <w:docPartObj>
        <w:docPartGallery w:val="Watermarks"/>
        <w:docPartUnique/>
      </w:docPartObj>
    </w:sdtPr>
    <w:sdtEndPr/>
    <w:sdtContent>
      <w:p w:rsidR="00684EE6" w:rsidRDefault="00E26938">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E425EE"/>
    <w:lvl w:ilvl="0">
      <w:start w:val="1"/>
      <w:numFmt w:val="decimal"/>
      <w:lvlText w:val="%1."/>
      <w:lvlJc w:val="left"/>
      <w:pPr>
        <w:tabs>
          <w:tab w:val="num" w:pos="1492"/>
        </w:tabs>
        <w:ind w:left="1492" w:hanging="360"/>
      </w:pPr>
    </w:lvl>
  </w:abstractNum>
  <w:abstractNum w:abstractNumId="1">
    <w:nsid w:val="FFFFFF7D"/>
    <w:multiLevelType w:val="singleLevel"/>
    <w:tmpl w:val="720A5512"/>
    <w:lvl w:ilvl="0">
      <w:start w:val="1"/>
      <w:numFmt w:val="decimal"/>
      <w:lvlText w:val="%1."/>
      <w:lvlJc w:val="left"/>
      <w:pPr>
        <w:tabs>
          <w:tab w:val="num" w:pos="1209"/>
        </w:tabs>
        <w:ind w:left="1209" w:hanging="360"/>
      </w:pPr>
    </w:lvl>
  </w:abstractNum>
  <w:abstractNum w:abstractNumId="2">
    <w:nsid w:val="FFFFFF7E"/>
    <w:multiLevelType w:val="singleLevel"/>
    <w:tmpl w:val="0D4C8A2E"/>
    <w:lvl w:ilvl="0">
      <w:start w:val="1"/>
      <w:numFmt w:val="decimal"/>
      <w:lvlText w:val="%1."/>
      <w:lvlJc w:val="left"/>
      <w:pPr>
        <w:tabs>
          <w:tab w:val="num" w:pos="926"/>
        </w:tabs>
        <w:ind w:left="926" w:hanging="360"/>
      </w:pPr>
    </w:lvl>
  </w:abstractNum>
  <w:abstractNum w:abstractNumId="3">
    <w:nsid w:val="FFFFFF7F"/>
    <w:multiLevelType w:val="singleLevel"/>
    <w:tmpl w:val="A1582A4C"/>
    <w:lvl w:ilvl="0">
      <w:start w:val="1"/>
      <w:numFmt w:val="decimal"/>
      <w:lvlText w:val="%1."/>
      <w:lvlJc w:val="left"/>
      <w:pPr>
        <w:tabs>
          <w:tab w:val="num" w:pos="643"/>
        </w:tabs>
        <w:ind w:left="643" w:hanging="360"/>
      </w:pPr>
    </w:lvl>
  </w:abstractNum>
  <w:abstractNum w:abstractNumId="4">
    <w:nsid w:val="FFFFFF80"/>
    <w:multiLevelType w:val="singleLevel"/>
    <w:tmpl w:val="A2B22B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2654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B86D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E603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C2B7B4"/>
    <w:lvl w:ilvl="0">
      <w:start w:val="1"/>
      <w:numFmt w:val="decimal"/>
      <w:lvlText w:val="%1."/>
      <w:lvlJc w:val="left"/>
      <w:pPr>
        <w:tabs>
          <w:tab w:val="num" w:pos="360"/>
        </w:tabs>
        <w:ind w:left="360" w:hanging="360"/>
      </w:pPr>
    </w:lvl>
  </w:abstractNum>
  <w:abstractNum w:abstractNumId="9">
    <w:nsid w:val="FFFFFF89"/>
    <w:multiLevelType w:val="singleLevel"/>
    <w:tmpl w:val="9D32160E"/>
    <w:lvl w:ilvl="0">
      <w:start w:val="1"/>
      <w:numFmt w:val="bullet"/>
      <w:lvlText w:val=""/>
      <w:lvlJc w:val="left"/>
      <w:pPr>
        <w:tabs>
          <w:tab w:val="num" w:pos="360"/>
        </w:tabs>
        <w:ind w:left="360" w:hanging="360"/>
      </w:pPr>
      <w:rPr>
        <w:rFonts w:ascii="Symbol" w:hAnsi="Symbol" w:hint="default"/>
      </w:rPr>
    </w:lvl>
  </w:abstractNum>
  <w:abstractNum w:abstractNumId="10">
    <w:nsid w:val="001B2A6F"/>
    <w:multiLevelType w:val="hybridMultilevel"/>
    <w:tmpl w:val="59F80D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03B159D4"/>
    <w:multiLevelType w:val="hybridMultilevel"/>
    <w:tmpl w:val="A62A411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0F770723"/>
    <w:multiLevelType w:val="hybridMultilevel"/>
    <w:tmpl w:val="75AA7B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145A636A"/>
    <w:multiLevelType w:val="hybridMultilevel"/>
    <w:tmpl w:val="0978AE7E"/>
    <w:lvl w:ilvl="0" w:tplc="1009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164926D4"/>
    <w:multiLevelType w:val="hybridMultilevel"/>
    <w:tmpl w:val="91FC1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16AE355C"/>
    <w:multiLevelType w:val="hybridMultilevel"/>
    <w:tmpl w:val="DF4AA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D01664C"/>
    <w:multiLevelType w:val="multilevel"/>
    <w:tmpl w:val="CE564CAC"/>
    <w:numStyleLink w:val="OSCPlainLanguage"/>
  </w:abstractNum>
  <w:abstractNum w:abstractNumId="17">
    <w:nsid w:val="1DF61E35"/>
    <w:multiLevelType w:val="hybridMultilevel"/>
    <w:tmpl w:val="069CD8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20227856"/>
    <w:multiLevelType w:val="hybridMultilevel"/>
    <w:tmpl w:val="B27E438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215906E2"/>
    <w:multiLevelType w:val="hybridMultilevel"/>
    <w:tmpl w:val="550411EC"/>
    <w:lvl w:ilvl="0" w:tplc="0C0C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28A3332D"/>
    <w:multiLevelType w:val="hybridMultilevel"/>
    <w:tmpl w:val="29C4997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2A4A252B"/>
    <w:multiLevelType w:val="hybridMultilevel"/>
    <w:tmpl w:val="53F8EA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CCC4A5E"/>
    <w:multiLevelType w:val="multilevel"/>
    <w:tmpl w:val="EA602646"/>
    <w:name w:val="x2"/>
    <w:lvl w:ilvl="0">
      <w:start w:val="1"/>
      <w:numFmt w:val="decimal"/>
      <w:lvlText w:val="%1"/>
      <w:lvlJc w:val="left"/>
      <w:pPr>
        <w:ind w:left="720" w:hanging="720"/>
      </w:pPr>
      <w:rPr>
        <w:rFonts w:hint="default"/>
        <w:b w:val="0"/>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nsid w:val="2CCF3902"/>
    <w:multiLevelType w:val="hybridMultilevel"/>
    <w:tmpl w:val="A65E0E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2D8C1335"/>
    <w:multiLevelType w:val="hybridMultilevel"/>
    <w:tmpl w:val="0532BCF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314B4A87"/>
    <w:multiLevelType w:val="hybridMultilevel"/>
    <w:tmpl w:val="B3403F3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26D3101"/>
    <w:multiLevelType w:val="hybridMultilevel"/>
    <w:tmpl w:val="414A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32715D0D"/>
    <w:multiLevelType w:val="hybridMultilevel"/>
    <w:tmpl w:val="37EA66E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4F253D6"/>
    <w:multiLevelType w:val="hybridMultilevel"/>
    <w:tmpl w:val="19F8BF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691181E"/>
    <w:multiLevelType w:val="multilevel"/>
    <w:tmpl w:val="CE564CAC"/>
    <w:name w:val="x"/>
    <w:styleLink w:val="OSCPlainLanguag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0">
    <w:nsid w:val="37102D48"/>
    <w:multiLevelType w:val="hybridMultilevel"/>
    <w:tmpl w:val="FD0C4D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40DE382A"/>
    <w:multiLevelType w:val="multilevel"/>
    <w:tmpl w:val="CE564CAC"/>
    <w:name w:val="x2"/>
    <w:numStyleLink w:val="OSCPlainLanguage"/>
  </w:abstractNum>
  <w:abstractNum w:abstractNumId="32">
    <w:nsid w:val="42487A23"/>
    <w:multiLevelType w:val="hybridMultilevel"/>
    <w:tmpl w:val="ECB80A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42A747CF"/>
    <w:multiLevelType w:val="hybridMultilevel"/>
    <w:tmpl w:val="1CB0DCD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42EB7B07"/>
    <w:multiLevelType w:val="multilevel"/>
    <w:tmpl w:val="CE564CAC"/>
    <w:name w:val="x"/>
    <w:numStyleLink w:val="OSCPlainLanguage"/>
  </w:abstractNum>
  <w:abstractNum w:abstractNumId="35">
    <w:nsid w:val="52321A27"/>
    <w:multiLevelType w:val="hybridMultilevel"/>
    <w:tmpl w:val="83F27A58"/>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36">
    <w:nsid w:val="527A5CF5"/>
    <w:multiLevelType w:val="hybridMultilevel"/>
    <w:tmpl w:val="BFBAB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62A60EF"/>
    <w:multiLevelType w:val="hybridMultilevel"/>
    <w:tmpl w:val="1318F2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56D857C5"/>
    <w:multiLevelType w:val="hybridMultilevel"/>
    <w:tmpl w:val="D0A62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74A0918"/>
    <w:multiLevelType w:val="hybridMultilevel"/>
    <w:tmpl w:val="41C24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83E0B52"/>
    <w:multiLevelType w:val="hybridMultilevel"/>
    <w:tmpl w:val="F0A2FE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5AFD6846"/>
    <w:multiLevelType w:val="hybridMultilevel"/>
    <w:tmpl w:val="081EE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5CB430D3"/>
    <w:multiLevelType w:val="hybridMultilevel"/>
    <w:tmpl w:val="83BE9A5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62C310C3"/>
    <w:multiLevelType w:val="hybridMultilevel"/>
    <w:tmpl w:val="7AE41CA2"/>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64195B68"/>
    <w:multiLevelType w:val="hybridMultilevel"/>
    <w:tmpl w:val="947243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670A294C"/>
    <w:multiLevelType w:val="hybridMultilevel"/>
    <w:tmpl w:val="140EDEE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0647D3D"/>
    <w:multiLevelType w:val="hybridMultilevel"/>
    <w:tmpl w:val="A8343F0C"/>
    <w:lvl w:ilvl="0" w:tplc="0C0C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nsid w:val="71ED52AE"/>
    <w:multiLevelType w:val="hybridMultilevel"/>
    <w:tmpl w:val="436C14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72BD0C6C"/>
    <w:multiLevelType w:val="hybridMultilevel"/>
    <w:tmpl w:val="D7F68C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nsid w:val="72C94926"/>
    <w:multiLevelType w:val="hybridMultilevel"/>
    <w:tmpl w:val="F086F89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749F4336"/>
    <w:multiLevelType w:val="hybridMultilevel"/>
    <w:tmpl w:val="C47A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nsid w:val="7C1E6EC6"/>
    <w:multiLevelType w:val="hybridMultilevel"/>
    <w:tmpl w:val="BE2AD2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34"/>
  </w:num>
  <w:num w:numId="4">
    <w:abstractNumId w:val="34"/>
  </w:num>
  <w:num w:numId="5">
    <w:abstractNumId w:val="34"/>
  </w:num>
  <w:num w:numId="6">
    <w:abstractNumId w:val="34"/>
  </w:num>
  <w:num w:numId="7">
    <w:abstractNumId w:val="34"/>
  </w:num>
  <w:num w:numId="8">
    <w:abstractNumId w:val="29"/>
  </w:num>
  <w:num w:numId="9">
    <w:abstractNumId w:val="31"/>
  </w:num>
  <w:num w:numId="10">
    <w:abstractNumId w:val="9"/>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6"/>
  </w:num>
  <w:num w:numId="20">
    <w:abstractNumId w:val="21"/>
  </w:num>
  <w:num w:numId="21">
    <w:abstractNumId w:val="28"/>
  </w:num>
  <w:num w:numId="22">
    <w:abstractNumId w:val="40"/>
  </w:num>
  <w:num w:numId="23">
    <w:abstractNumId w:val="24"/>
  </w:num>
  <w:num w:numId="24">
    <w:abstractNumId w:val="35"/>
  </w:num>
  <w:num w:numId="25">
    <w:abstractNumId w:val="38"/>
  </w:num>
  <w:num w:numId="26">
    <w:abstractNumId w:val="47"/>
  </w:num>
  <w:num w:numId="27">
    <w:abstractNumId w:val="41"/>
  </w:num>
  <w:num w:numId="28">
    <w:abstractNumId w:val="36"/>
  </w:num>
  <w:num w:numId="29">
    <w:abstractNumId w:val="39"/>
  </w:num>
  <w:num w:numId="30">
    <w:abstractNumId w:val="27"/>
  </w:num>
  <w:num w:numId="31">
    <w:abstractNumId w:val="12"/>
  </w:num>
  <w:num w:numId="32">
    <w:abstractNumId w:val="30"/>
  </w:num>
  <w:num w:numId="33">
    <w:abstractNumId w:val="19"/>
  </w:num>
  <w:num w:numId="34">
    <w:abstractNumId w:val="46"/>
  </w:num>
  <w:num w:numId="35">
    <w:abstractNumId w:val="51"/>
  </w:num>
  <w:num w:numId="36">
    <w:abstractNumId w:val="17"/>
  </w:num>
  <w:num w:numId="37">
    <w:abstractNumId w:val="45"/>
  </w:num>
  <w:num w:numId="38">
    <w:abstractNumId w:val="48"/>
  </w:num>
  <w:num w:numId="39">
    <w:abstractNumId w:val="25"/>
  </w:num>
  <w:num w:numId="40">
    <w:abstractNumId w:val="49"/>
  </w:num>
  <w:num w:numId="41">
    <w:abstractNumId w:val="11"/>
  </w:num>
  <w:num w:numId="42">
    <w:abstractNumId w:val="43"/>
  </w:num>
  <w:num w:numId="43">
    <w:abstractNumId w:val="42"/>
  </w:num>
  <w:num w:numId="44">
    <w:abstractNumId w:val="13"/>
  </w:num>
  <w:num w:numId="45">
    <w:abstractNumId w:val="44"/>
  </w:num>
  <w:num w:numId="46">
    <w:abstractNumId w:val="18"/>
  </w:num>
  <w:num w:numId="47">
    <w:abstractNumId w:val="50"/>
  </w:num>
  <w:num w:numId="48">
    <w:abstractNumId w:val="14"/>
  </w:num>
  <w:num w:numId="49">
    <w:abstractNumId w:val="15"/>
  </w:num>
  <w:num w:numId="50">
    <w:abstractNumId w:val="33"/>
  </w:num>
  <w:num w:numId="51">
    <w:abstractNumId w:val="32"/>
  </w:num>
  <w:num w:numId="52">
    <w:abstractNumId w:val="23"/>
  </w:num>
  <w:num w:numId="53">
    <w:abstractNumId w:val="37"/>
  </w:num>
  <w:num w:numId="54">
    <w:abstractNumId w:val="26"/>
  </w:num>
  <w:num w:numId="55">
    <w:abstractNumId w:val="10"/>
  </w:num>
  <w:num w:numId="5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7F"/>
    <w:rsid w:val="00017264"/>
    <w:rsid w:val="0002075E"/>
    <w:rsid w:val="00026632"/>
    <w:rsid w:val="0003362D"/>
    <w:rsid w:val="00053B31"/>
    <w:rsid w:val="000B3491"/>
    <w:rsid w:val="000C6335"/>
    <w:rsid w:val="000E708D"/>
    <w:rsid w:val="000F198E"/>
    <w:rsid w:val="000F4C55"/>
    <w:rsid w:val="001072F7"/>
    <w:rsid w:val="001218CA"/>
    <w:rsid w:val="00127714"/>
    <w:rsid w:val="00133C19"/>
    <w:rsid w:val="00142D86"/>
    <w:rsid w:val="001561E3"/>
    <w:rsid w:val="00160382"/>
    <w:rsid w:val="001733ED"/>
    <w:rsid w:val="001739D7"/>
    <w:rsid w:val="00174C55"/>
    <w:rsid w:val="00202B20"/>
    <w:rsid w:val="00205309"/>
    <w:rsid w:val="00222B8A"/>
    <w:rsid w:val="00230AD1"/>
    <w:rsid w:val="00232008"/>
    <w:rsid w:val="00237682"/>
    <w:rsid w:val="002433AA"/>
    <w:rsid w:val="00254BC6"/>
    <w:rsid w:val="00293672"/>
    <w:rsid w:val="002B3896"/>
    <w:rsid w:val="002B4B45"/>
    <w:rsid w:val="002C0106"/>
    <w:rsid w:val="002D08AB"/>
    <w:rsid w:val="002D3C8A"/>
    <w:rsid w:val="002E0C78"/>
    <w:rsid w:val="00315019"/>
    <w:rsid w:val="00331A09"/>
    <w:rsid w:val="003338D4"/>
    <w:rsid w:val="0033555E"/>
    <w:rsid w:val="00361D6B"/>
    <w:rsid w:val="0036470C"/>
    <w:rsid w:val="003751B6"/>
    <w:rsid w:val="00381EE9"/>
    <w:rsid w:val="003B1D15"/>
    <w:rsid w:val="003C289D"/>
    <w:rsid w:val="003C60AF"/>
    <w:rsid w:val="003F1430"/>
    <w:rsid w:val="003F62D3"/>
    <w:rsid w:val="00416840"/>
    <w:rsid w:val="004319E4"/>
    <w:rsid w:val="00434A41"/>
    <w:rsid w:val="00454172"/>
    <w:rsid w:val="00474834"/>
    <w:rsid w:val="0049005F"/>
    <w:rsid w:val="004930E1"/>
    <w:rsid w:val="00495629"/>
    <w:rsid w:val="004A76A3"/>
    <w:rsid w:val="004B6B58"/>
    <w:rsid w:val="004C77F4"/>
    <w:rsid w:val="004E062B"/>
    <w:rsid w:val="00505276"/>
    <w:rsid w:val="00510995"/>
    <w:rsid w:val="00516532"/>
    <w:rsid w:val="005173B1"/>
    <w:rsid w:val="005175DB"/>
    <w:rsid w:val="00531062"/>
    <w:rsid w:val="00560587"/>
    <w:rsid w:val="00575777"/>
    <w:rsid w:val="00584022"/>
    <w:rsid w:val="00593E35"/>
    <w:rsid w:val="005A3A53"/>
    <w:rsid w:val="005A7697"/>
    <w:rsid w:val="005B7B85"/>
    <w:rsid w:val="005C6899"/>
    <w:rsid w:val="005F19A2"/>
    <w:rsid w:val="00611E48"/>
    <w:rsid w:val="00644AAD"/>
    <w:rsid w:val="00664F0A"/>
    <w:rsid w:val="00680995"/>
    <w:rsid w:val="0068168A"/>
    <w:rsid w:val="00683A6A"/>
    <w:rsid w:val="00684EE6"/>
    <w:rsid w:val="006A0EBE"/>
    <w:rsid w:val="006A108C"/>
    <w:rsid w:val="006A46DC"/>
    <w:rsid w:val="006B62DD"/>
    <w:rsid w:val="0070235C"/>
    <w:rsid w:val="0071356C"/>
    <w:rsid w:val="00731974"/>
    <w:rsid w:val="007374A9"/>
    <w:rsid w:val="007416F6"/>
    <w:rsid w:val="007428E7"/>
    <w:rsid w:val="00756D3C"/>
    <w:rsid w:val="007576B5"/>
    <w:rsid w:val="00760ED0"/>
    <w:rsid w:val="00764E81"/>
    <w:rsid w:val="00767230"/>
    <w:rsid w:val="00777982"/>
    <w:rsid w:val="007D4EDE"/>
    <w:rsid w:val="007E2DA9"/>
    <w:rsid w:val="007E5B49"/>
    <w:rsid w:val="007F598F"/>
    <w:rsid w:val="008032CD"/>
    <w:rsid w:val="00806A0E"/>
    <w:rsid w:val="008112DA"/>
    <w:rsid w:val="008316EC"/>
    <w:rsid w:val="00840312"/>
    <w:rsid w:val="0085368D"/>
    <w:rsid w:val="00857EE6"/>
    <w:rsid w:val="008709FF"/>
    <w:rsid w:val="00897350"/>
    <w:rsid w:val="008C2F91"/>
    <w:rsid w:val="008C7A47"/>
    <w:rsid w:val="008D2741"/>
    <w:rsid w:val="008F4FE9"/>
    <w:rsid w:val="00914753"/>
    <w:rsid w:val="009740B9"/>
    <w:rsid w:val="00987B7D"/>
    <w:rsid w:val="009A594A"/>
    <w:rsid w:val="009D49F1"/>
    <w:rsid w:val="009D4A49"/>
    <w:rsid w:val="009D57DC"/>
    <w:rsid w:val="009D68B8"/>
    <w:rsid w:val="00A3671F"/>
    <w:rsid w:val="00A42B20"/>
    <w:rsid w:val="00A520F3"/>
    <w:rsid w:val="00A629D4"/>
    <w:rsid w:val="00A67C9D"/>
    <w:rsid w:val="00A731A1"/>
    <w:rsid w:val="00A73CED"/>
    <w:rsid w:val="00A7687B"/>
    <w:rsid w:val="00A8011F"/>
    <w:rsid w:val="00A97ECC"/>
    <w:rsid w:val="00AB7ADF"/>
    <w:rsid w:val="00AC0292"/>
    <w:rsid w:val="00AC4DF6"/>
    <w:rsid w:val="00AC69AA"/>
    <w:rsid w:val="00AD15F7"/>
    <w:rsid w:val="00AD5DE9"/>
    <w:rsid w:val="00AD69C1"/>
    <w:rsid w:val="00AE5D94"/>
    <w:rsid w:val="00AE72A9"/>
    <w:rsid w:val="00AF155A"/>
    <w:rsid w:val="00B10974"/>
    <w:rsid w:val="00B31031"/>
    <w:rsid w:val="00B5086B"/>
    <w:rsid w:val="00B603C8"/>
    <w:rsid w:val="00B634DA"/>
    <w:rsid w:val="00B64D93"/>
    <w:rsid w:val="00B744AF"/>
    <w:rsid w:val="00B76417"/>
    <w:rsid w:val="00BC5B7F"/>
    <w:rsid w:val="00BD31B6"/>
    <w:rsid w:val="00BD413E"/>
    <w:rsid w:val="00BE30C0"/>
    <w:rsid w:val="00C03645"/>
    <w:rsid w:val="00C06465"/>
    <w:rsid w:val="00C06C01"/>
    <w:rsid w:val="00C25D5B"/>
    <w:rsid w:val="00C3750D"/>
    <w:rsid w:val="00C37B67"/>
    <w:rsid w:val="00C42DEE"/>
    <w:rsid w:val="00C45544"/>
    <w:rsid w:val="00C45F02"/>
    <w:rsid w:val="00C5393D"/>
    <w:rsid w:val="00C72C92"/>
    <w:rsid w:val="00C761FC"/>
    <w:rsid w:val="00CA5017"/>
    <w:rsid w:val="00CC0487"/>
    <w:rsid w:val="00D17C1E"/>
    <w:rsid w:val="00D253C5"/>
    <w:rsid w:val="00D406F6"/>
    <w:rsid w:val="00D5319F"/>
    <w:rsid w:val="00D60CBF"/>
    <w:rsid w:val="00D749D3"/>
    <w:rsid w:val="00D75534"/>
    <w:rsid w:val="00D84797"/>
    <w:rsid w:val="00D92AD9"/>
    <w:rsid w:val="00DA62D4"/>
    <w:rsid w:val="00DB192A"/>
    <w:rsid w:val="00DC25C6"/>
    <w:rsid w:val="00DC7DA3"/>
    <w:rsid w:val="00DF011C"/>
    <w:rsid w:val="00DF2874"/>
    <w:rsid w:val="00DF39E0"/>
    <w:rsid w:val="00E16F31"/>
    <w:rsid w:val="00E21266"/>
    <w:rsid w:val="00E26938"/>
    <w:rsid w:val="00E30200"/>
    <w:rsid w:val="00E922B5"/>
    <w:rsid w:val="00E97D2F"/>
    <w:rsid w:val="00EB168E"/>
    <w:rsid w:val="00EB4067"/>
    <w:rsid w:val="00ED664F"/>
    <w:rsid w:val="00EF6036"/>
    <w:rsid w:val="00F01D4F"/>
    <w:rsid w:val="00F101C2"/>
    <w:rsid w:val="00F23C09"/>
    <w:rsid w:val="00F41820"/>
    <w:rsid w:val="00F7003E"/>
    <w:rsid w:val="00F830AC"/>
    <w:rsid w:val="00F8430A"/>
    <w:rsid w:val="00F92FE0"/>
    <w:rsid w:val="00F95FE7"/>
    <w:rsid w:val="00FB7997"/>
    <w:rsid w:val="00FC43E9"/>
    <w:rsid w:val="00FD6348"/>
    <w:rsid w:val="00FE5BA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zh-T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List Number" w:semiHidden="1" w:unhideWhenUsed="1"/>
    <w:lsdException w:name="Title" w:uiPriority="10" w:qFormat="1"/>
    <w:lsdException w:name="Default Paragraph Font" w:semiHidden="1" w:uiPriority="1" w:unhideWhenUsed="1"/>
    <w:lsdException w:name="Body Text" w:uiPriority="99"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2CD"/>
    <w:pPr>
      <w:spacing w:after="120" w:line="240" w:lineRule="auto"/>
    </w:pPr>
    <w:rPr>
      <w:rFonts w:ascii="Verdana" w:hAnsi="Verdana"/>
      <w:sz w:val="21"/>
    </w:rPr>
  </w:style>
  <w:style w:type="paragraph" w:styleId="Heading1">
    <w:name w:val="heading 1"/>
    <w:basedOn w:val="Normal"/>
    <w:next w:val="Normal"/>
    <w:link w:val="Heading1Char"/>
    <w:uiPriority w:val="2"/>
    <w:qFormat/>
    <w:rsid w:val="00E21266"/>
    <w:pPr>
      <w:keepNext/>
      <w:keepLines/>
      <w:spacing w:after="0"/>
      <w:outlineLvl w:val="0"/>
    </w:pPr>
    <w:rPr>
      <w:rFonts w:eastAsiaTheme="majorEastAsia" w:cstheme="majorBidi"/>
      <w:b/>
      <w:bCs/>
      <w:sz w:val="24"/>
      <w:szCs w:val="28"/>
    </w:rPr>
  </w:style>
  <w:style w:type="paragraph" w:styleId="Heading2">
    <w:name w:val="heading 2"/>
    <w:basedOn w:val="Normal"/>
    <w:next w:val="Normal"/>
    <w:link w:val="Heading2Char"/>
    <w:uiPriority w:val="3"/>
    <w:qFormat/>
    <w:rsid w:val="00E21266"/>
    <w:pPr>
      <w:keepNext/>
      <w:keepLines/>
      <w:spacing w:before="1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E21266"/>
    <w:pPr>
      <w:keepNext/>
      <w:keepLines/>
      <w:spacing w:after="0"/>
      <w:outlineLvl w:val="2"/>
    </w:pPr>
    <w:rPr>
      <w:rFonts w:ascii="Arial" w:eastAsiaTheme="majorEastAsia" w:hAnsi="Arial" w:cstheme="majorBidi"/>
      <w:b/>
      <w:bCs/>
      <w:sz w:val="24"/>
    </w:rPr>
  </w:style>
  <w:style w:type="paragraph" w:styleId="Heading4">
    <w:name w:val="heading 4"/>
    <w:basedOn w:val="Normal"/>
    <w:next w:val="Normal"/>
    <w:link w:val="Heading4Char"/>
    <w:uiPriority w:val="9"/>
    <w:qFormat/>
    <w:rsid w:val="00E21266"/>
    <w:pPr>
      <w:keepNext/>
      <w:keepLines/>
      <w:spacing w:before="120"/>
      <w:outlineLvl w:val="3"/>
    </w:pPr>
    <w:rPr>
      <w:rFonts w:ascii="Arial" w:eastAsiaTheme="majorEastAsia" w:hAnsi="Arial" w:cstheme="majorBidi"/>
      <w:b/>
      <w:bCs/>
      <w:iCs/>
      <w:sz w:val="24"/>
    </w:rPr>
  </w:style>
  <w:style w:type="paragraph" w:styleId="Heading5">
    <w:name w:val="heading 5"/>
    <w:basedOn w:val="Normal"/>
    <w:next w:val="Normal"/>
    <w:link w:val="Heading5Char"/>
    <w:uiPriority w:val="9"/>
    <w:semiHidden/>
    <w:unhideWhenUsed/>
    <w:qFormat/>
    <w:rsid w:val="00E21266"/>
    <w:pPr>
      <w:keepNext/>
      <w:keepLines/>
      <w:spacing w:after="0"/>
      <w:outlineLvl w:val="4"/>
    </w:pPr>
    <w:rPr>
      <w:rFonts w:ascii="Times New Roman" w:eastAsiaTheme="majorEastAsia" w:hAnsi="Times New Roman" w:cstheme="majorBidi"/>
      <w:sz w:val="24"/>
      <w:u w:val="single"/>
    </w:rPr>
  </w:style>
  <w:style w:type="paragraph" w:styleId="Heading6">
    <w:name w:val="heading 6"/>
    <w:basedOn w:val="Normal"/>
    <w:next w:val="Normal"/>
    <w:link w:val="Heading6Char"/>
    <w:uiPriority w:val="9"/>
    <w:semiHidden/>
    <w:unhideWhenUsed/>
    <w:qFormat/>
    <w:rsid w:val="00E21266"/>
    <w:pPr>
      <w:keepNext/>
      <w:keepLines/>
      <w:spacing w:after="0"/>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E21266"/>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E2126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12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21266"/>
    <w:rPr>
      <w:rFonts w:ascii="Verdana" w:eastAsiaTheme="majorEastAsia" w:hAnsi="Verdana" w:cstheme="majorBidi"/>
      <w:b/>
      <w:bCs/>
      <w:sz w:val="24"/>
      <w:szCs w:val="28"/>
    </w:rPr>
  </w:style>
  <w:style w:type="character" w:customStyle="1" w:styleId="Heading2Char">
    <w:name w:val="Heading 2 Char"/>
    <w:basedOn w:val="DefaultParagraphFont"/>
    <w:link w:val="Heading2"/>
    <w:uiPriority w:val="3"/>
    <w:rsid w:val="00E21266"/>
    <w:rPr>
      <w:rFonts w:ascii="Verdana" w:eastAsiaTheme="majorEastAsia" w:hAnsi="Verdana" w:cstheme="majorBidi"/>
      <w:b/>
      <w:bCs/>
      <w:sz w:val="24"/>
      <w:szCs w:val="26"/>
    </w:rPr>
  </w:style>
  <w:style w:type="character" w:customStyle="1" w:styleId="Heading3Char">
    <w:name w:val="Heading 3 Char"/>
    <w:basedOn w:val="DefaultParagraphFont"/>
    <w:link w:val="Heading3"/>
    <w:uiPriority w:val="4"/>
    <w:rsid w:val="00E21266"/>
    <w:rPr>
      <w:rFonts w:ascii="Arial" w:eastAsiaTheme="majorEastAsia" w:hAnsi="Arial" w:cstheme="majorBidi"/>
      <w:b/>
      <w:bCs/>
      <w:sz w:val="24"/>
    </w:rPr>
  </w:style>
  <w:style w:type="paragraph" w:styleId="Title">
    <w:name w:val="Title"/>
    <w:basedOn w:val="Normal"/>
    <w:next w:val="Normal"/>
    <w:link w:val="TitleChar"/>
    <w:uiPriority w:val="10"/>
    <w:qFormat/>
    <w:rsid w:val="00E21266"/>
    <w:pPr>
      <w:keepNext/>
      <w:spacing w:after="24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E21266"/>
    <w:rPr>
      <w:rFonts w:ascii="Verdana" w:eastAsiaTheme="majorEastAsia" w:hAnsi="Verdana" w:cstheme="majorBidi"/>
      <w:b/>
      <w:spacing w:val="5"/>
      <w:kern w:val="28"/>
      <w:sz w:val="28"/>
      <w:szCs w:val="52"/>
    </w:rPr>
  </w:style>
  <w:style w:type="character" w:customStyle="1" w:styleId="Heading4Char">
    <w:name w:val="Heading 4 Char"/>
    <w:basedOn w:val="DefaultParagraphFont"/>
    <w:link w:val="Heading4"/>
    <w:uiPriority w:val="9"/>
    <w:rsid w:val="00E21266"/>
    <w:rPr>
      <w:rFonts w:ascii="Arial" w:eastAsiaTheme="majorEastAsia" w:hAnsi="Arial" w:cstheme="majorBidi"/>
      <w:b/>
      <w:bCs/>
      <w:iCs/>
      <w:sz w:val="24"/>
    </w:rPr>
  </w:style>
  <w:style w:type="character" w:customStyle="1" w:styleId="Heading5Char">
    <w:name w:val="Heading 5 Char"/>
    <w:basedOn w:val="DefaultParagraphFont"/>
    <w:link w:val="Heading5"/>
    <w:uiPriority w:val="9"/>
    <w:semiHidden/>
    <w:rsid w:val="00E21266"/>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sid w:val="00E21266"/>
    <w:rPr>
      <w:rFonts w:ascii="Times New Roman" w:eastAsiaTheme="majorEastAsia" w:hAnsi="Times New Roman" w:cstheme="majorBidi"/>
      <w:i/>
      <w:iCs/>
      <w:sz w:val="24"/>
    </w:rPr>
  </w:style>
  <w:style w:type="paragraph" w:styleId="BodyText">
    <w:name w:val="Body Text"/>
    <w:basedOn w:val="Normal"/>
    <w:link w:val="BodyTextChar"/>
    <w:uiPriority w:val="99"/>
    <w:qFormat/>
    <w:rsid w:val="00E21266"/>
    <w:pPr>
      <w:ind w:firstLine="720"/>
    </w:pPr>
  </w:style>
  <w:style w:type="character" w:customStyle="1" w:styleId="BodyTextChar">
    <w:name w:val="Body Text Char"/>
    <w:basedOn w:val="DefaultParagraphFont"/>
    <w:link w:val="BodyText"/>
    <w:uiPriority w:val="99"/>
    <w:rsid w:val="00E21266"/>
    <w:rPr>
      <w:rFonts w:ascii="Verdana" w:hAnsi="Verdana"/>
      <w:sz w:val="21"/>
    </w:rPr>
  </w:style>
  <w:style w:type="paragraph" w:styleId="Subtitle">
    <w:name w:val="Subtitle"/>
    <w:basedOn w:val="Normal"/>
    <w:next w:val="Normal"/>
    <w:link w:val="SubtitleChar"/>
    <w:uiPriority w:val="11"/>
    <w:qFormat/>
    <w:rsid w:val="00E212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126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E21266"/>
    <w:pPr>
      <w:ind w:left="720"/>
      <w:contextualSpacing/>
    </w:pPr>
  </w:style>
  <w:style w:type="paragraph" w:styleId="BodyText2">
    <w:name w:val="Body Text 2"/>
    <w:basedOn w:val="Normal"/>
    <w:link w:val="BodyText2Char"/>
    <w:rsid w:val="00D92AD9"/>
    <w:pPr>
      <w:spacing w:line="480" w:lineRule="auto"/>
    </w:pPr>
  </w:style>
  <w:style w:type="paragraph" w:customStyle="1" w:styleId="OSCPLListNumber">
    <w:name w:val="OSC PL List Number"/>
    <w:basedOn w:val="ListNumber"/>
    <w:qFormat/>
    <w:rsid w:val="00E21266"/>
    <w:rPr>
      <w:rFonts w:eastAsia="Times New Roman"/>
    </w:rPr>
  </w:style>
  <w:style w:type="paragraph" w:styleId="ListNumber">
    <w:name w:val="List Number"/>
    <w:basedOn w:val="Normal"/>
    <w:rsid w:val="00575777"/>
  </w:style>
  <w:style w:type="numbering" w:customStyle="1" w:styleId="OSCPlainLanguage">
    <w:name w:val="OSC Plain Language"/>
    <w:uiPriority w:val="99"/>
    <w:rsid w:val="00BD413E"/>
    <w:pPr>
      <w:numPr>
        <w:numId w:val="8"/>
      </w:numPr>
    </w:pPr>
  </w:style>
  <w:style w:type="character" w:customStyle="1" w:styleId="Heading7Char">
    <w:name w:val="Heading 7 Char"/>
    <w:basedOn w:val="DefaultParagraphFont"/>
    <w:link w:val="Heading7"/>
    <w:uiPriority w:val="9"/>
    <w:semiHidden/>
    <w:rsid w:val="00E21266"/>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212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1266"/>
    <w:rPr>
      <w:rFonts w:asciiTheme="majorHAnsi" w:eastAsiaTheme="majorEastAsia" w:hAnsiTheme="majorHAnsi" w:cstheme="majorBidi"/>
      <w:i/>
      <w:iCs/>
      <w:color w:val="404040" w:themeColor="text1" w:themeTint="BF"/>
      <w:sz w:val="20"/>
      <w:szCs w:val="20"/>
    </w:rPr>
  </w:style>
  <w:style w:type="character" w:styleId="Strong">
    <w:name w:val="Strong"/>
    <w:uiPriority w:val="22"/>
    <w:qFormat/>
    <w:rsid w:val="00E21266"/>
    <w:rPr>
      <w:b/>
      <w:bCs/>
    </w:rPr>
  </w:style>
  <w:style w:type="character" w:styleId="Emphasis">
    <w:name w:val="Emphasis"/>
    <w:uiPriority w:val="20"/>
    <w:qFormat/>
    <w:rsid w:val="00E21266"/>
    <w:rPr>
      <w:i/>
      <w:iCs/>
    </w:rPr>
  </w:style>
  <w:style w:type="paragraph" w:styleId="NoSpacing">
    <w:name w:val="No Spacing"/>
    <w:basedOn w:val="Normal"/>
    <w:link w:val="NoSpacingChar"/>
    <w:uiPriority w:val="1"/>
    <w:qFormat/>
    <w:rsid w:val="00E21266"/>
    <w:pPr>
      <w:spacing w:after="0"/>
    </w:pPr>
    <w:rPr>
      <w:rFonts w:ascii="Times New Roman" w:hAnsi="Times New Roman"/>
      <w:sz w:val="24"/>
    </w:rPr>
  </w:style>
  <w:style w:type="paragraph" w:styleId="Quote">
    <w:name w:val="Quote"/>
    <w:basedOn w:val="Normal"/>
    <w:next w:val="Normal"/>
    <w:link w:val="QuoteChar"/>
    <w:uiPriority w:val="29"/>
    <w:qFormat/>
    <w:rsid w:val="00E21266"/>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E21266"/>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E2126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E21266"/>
    <w:rPr>
      <w:rFonts w:ascii="Times New Roman" w:hAnsi="Times New Roman"/>
      <w:b/>
      <w:bCs/>
      <w:i/>
      <w:iCs/>
      <w:color w:val="4F81BD" w:themeColor="accent1"/>
      <w:sz w:val="24"/>
    </w:rPr>
  </w:style>
  <w:style w:type="character" w:styleId="SubtleEmphasis">
    <w:name w:val="Subtle Emphasis"/>
    <w:uiPriority w:val="19"/>
    <w:qFormat/>
    <w:rsid w:val="00E21266"/>
    <w:rPr>
      <w:i/>
      <w:iCs/>
      <w:color w:val="808080" w:themeColor="text1" w:themeTint="7F"/>
    </w:rPr>
  </w:style>
  <w:style w:type="character" w:styleId="IntenseEmphasis">
    <w:name w:val="Intense Emphasis"/>
    <w:uiPriority w:val="21"/>
    <w:qFormat/>
    <w:rsid w:val="00E21266"/>
    <w:rPr>
      <w:b/>
      <w:bCs/>
      <w:i/>
      <w:iCs/>
      <w:color w:val="4F81BD" w:themeColor="accent1"/>
    </w:rPr>
  </w:style>
  <w:style w:type="character" w:styleId="SubtleReference">
    <w:name w:val="Subtle Reference"/>
    <w:uiPriority w:val="31"/>
    <w:qFormat/>
    <w:rsid w:val="00E21266"/>
    <w:rPr>
      <w:smallCaps/>
      <w:color w:val="C0504D" w:themeColor="accent2"/>
      <w:u w:val="single"/>
    </w:rPr>
  </w:style>
  <w:style w:type="character" w:styleId="IntenseReference">
    <w:name w:val="Intense Reference"/>
    <w:uiPriority w:val="32"/>
    <w:qFormat/>
    <w:rsid w:val="00E21266"/>
    <w:rPr>
      <w:b/>
      <w:bCs/>
      <w:smallCaps/>
      <w:color w:val="C0504D" w:themeColor="accent2"/>
      <w:spacing w:val="5"/>
      <w:u w:val="single"/>
    </w:rPr>
  </w:style>
  <w:style w:type="character" w:styleId="BookTitle">
    <w:name w:val="Book Title"/>
    <w:uiPriority w:val="33"/>
    <w:qFormat/>
    <w:rsid w:val="00E21266"/>
    <w:rPr>
      <w:b/>
      <w:bCs/>
      <w:smallCaps/>
      <w:spacing w:val="5"/>
    </w:rPr>
  </w:style>
  <w:style w:type="paragraph" w:styleId="TOCHeading">
    <w:name w:val="TOC Heading"/>
    <w:basedOn w:val="Heading1"/>
    <w:next w:val="Normal"/>
    <w:uiPriority w:val="39"/>
    <w:semiHidden/>
    <w:unhideWhenUsed/>
    <w:qFormat/>
    <w:rsid w:val="00E21266"/>
    <w:pPr>
      <w:spacing w:before="480"/>
      <w:outlineLvl w:val="9"/>
    </w:pPr>
    <w:rPr>
      <w:rFonts w:asciiTheme="majorHAnsi" w:hAnsiTheme="majorHAnsi"/>
      <w:color w:val="365F91" w:themeColor="accent1" w:themeShade="BF"/>
    </w:rPr>
  </w:style>
  <w:style w:type="paragraph" w:styleId="Caption">
    <w:name w:val="caption"/>
    <w:basedOn w:val="Normal"/>
    <w:next w:val="Normal"/>
    <w:uiPriority w:val="35"/>
    <w:semiHidden/>
    <w:unhideWhenUsed/>
    <w:qFormat/>
    <w:rsid w:val="00E21266"/>
    <w:pPr>
      <w:spacing w:after="200"/>
    </w:pPr>
    <w:rPr>
      <w:b/>
      <w:bCs/>
      <w:color w:val="4F81BD" w:themeColor="accent1"/>
      <w:sz w:val="18"/>
      <w:szCs w:val="18"/>
    </w:rPr>
  </w:style>
  <w:style w:type="character" w:customStyle="1" w:styleId="NoSpacingChar">
    <w:name w:val="No Spacing Char"/>
    <w:basedOn w:val="DefaultParagraphFont"/>
    <w:link w:val="NoSpacing"/>
    <w:uiPriority w:val="1"/>
    <w:rsid w:val="00E21266"/>
    <w:rPr>
      <w:rFonts w:ascii="Times New Roman" w:hAnsi="Times New Roman"/>
      <w:sz w:val="24"/>
    </w:rPr>
  </w:style>
  <w:style w:type="paragraph" w:styleId="NormalIndent">
    <w:name w:val="Normal Indent"/>
    <w:basedOn w:val="Normal"/>
    <w:rsid w:val="00D92AD9"/>
    <w:pPr>
      <w:ind w:left="720"/>
    </w:pPr>
  </w:style>
  <w:style w:type="character" w:customStyle="1" w:styleId="BodyText2Char">
    <w:name w:val="Body Text 2 Char"/>
    <w:basedOn w:val="DefaultParagraphFont"/>
    <w:link w:val="BodyText2"/>
    <w:rsid w:val="00D92AD9"/>
    <w:rPr>
      <w:rFonts w:ascii="Verdana" w:hAnsi="Verdana"/>
      <w:sz w:val="21"/>
    </w:rPr>
  </w:style>
  <w:style w:type="paragraph" w:styleId="BodyText3">
    <w:name w:val="Body Text 3"/>
    <w:basedOn w:val="Normal"/>
    <w:link w:val="BodyText3Char"/>
    <w:rsid w:val="00D92AD9"/>
    <w:rPr>
      <w:sz w:val="16"/>
      <w:szCs w:val="16"/>
    </w:rPr>
  </w:style>
  <w:style w:type="character" w:customStyle="1" w:styleId="BodyText3Char">
    <w:name w:val="Body Text 3 Char"/>
    <w:basedOn w:val="DefaultParagraphFont"/>
    <w:link w:val="BodyText3"/>
    <w:rsid w:val="00D92AD9"/>
    <w:rPr>
      <w:rFonts w:ascii="Verdana" w:hAnsi="Verdana"/>
      <w:sz w:val="16"/>
      <w:szCs w:val="16"/>
    </w:rPr>
  </w:style>
  <w:style w:type="paragraph" w:styleId="BlockText">
    <w:name w:val="Block Text"/>
    <w:basedOn w:val="Normal"/>
    <w:rsid w:val="00D92AD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rsid w:val="00D92AD9"/>
    <w:pPr>
      <w:ind w:firstLine="360"/>
    </w:pPr>
  </w:style>
  <w:style w:type="character" w:customStyle="1" w:styleId="BodyTextFirstIndentChar">
    <w:name w:val="Body Text First Indent Char"/>
    <w:basedOn w:val="BodyTextChar"/>
    <w:link w:val="BodyTextFirstIndent"/>
    <w:rsid w:val="00D92AD9"/>
    <w:rPr>
      <w:rFonts w:ascii="Verdana" w:hAnsi="Verdana"/>
      <w:sz w:val="21"/>
    </w:rPr>
  </w:style>
  <w:style w:type="paragraph" w:styleId="BodyTextIndent">
    <w:name w:val="Body Text Indent"/>
    <w:basedOn w:val="Normal"/>
    <w:link w:val="BodyTextIndentChar"/>
    <w:rsid w:val="00D92AD9"/>
    <w:pPr>
      <w:ind w:left="283"/>
    </w:pPr>
  </w:style>
  <w:style w:type="character" w:customStyle="1" w:styleId="BodyTextIndentChar">
    <w:name w:val="Body Text Indent Char"/>
    <w:basedOn w:val="DefaultParagraphFont"/>
    <w:link w:val="BodyTextIndent"/>
    <w:rsid w:val="00D92AD9"/>
    <w:rPr>
      <w:rFonts w:ascii="Verdana" w:hAnsi="Verdana"/>
      <w:sz w:val="21"/>
    </w:rPr>
  </w:style>
  <w:style w:type="paragraph" w:styleId="BodyTextFirstIndent2">
    <w:name w:val="Body Text First Indent 2"/>
    <w:basedOn w:val="BodyTextIndent"/>
    <w:link w:val="BodyTextFirstIndent2Char"/>
    <w:rsid w:val="00D92AD9"/>
    <w:pPr>
      <w:ind w:left="360" w:firstLine="360"/>
    </w:pPr>
  </w:style>
  <w:style w:type="character" w:customStyle="1" w:styleId="BodyTextFirstIndent2Char">
    <w:name w:val="Body Text First Indent 2 Char"/>
    <w:basedOn w:val="BodyTextIndentChar"/>
    <w:link w:val="BodyTextFirstIndent2"/>
    <w:rsid w:val="00D92AD9"/>
    <w:rPr>
      <w:rFonts w:ascii="Verdana" w:hAnsi="Verdana"/>
      <w:sz w:val="21"/>
    </w:rPr>
  </w:style>
  <w:style w:type="character" w:customStyle="1" w:styleId="StyleArial">
    <w:name w:val="Style Arial"/>
    <w:uiPriority w:val="99"/>
    <w:rsid w:val="00683A6A"/>
    <w:rPr>
      <w:rFonts w:ascii="Arial" w:hAnsi="Arial"/>
    </w:rPr>
  </w:style>
  <w:style w:type="paragraph" w:customStyle="1" w:styleId="Subhead1">
    <w:name w:val="Subhead 1"/>
    <w:basedOn w:val="Normal"/>
    <w:next w:val="BodyText"/>
    <w:link w:val="Subhead1Char"/>
    <w:uiPriority w:val="99"/>
    <w:rsid w:val="00516532"/>
    <w:pPr>
      <w:spacing w:after="0"/>
    </w:pPr>
    <w:rPr>
      <w:rFonts w:ascii="Univers 55" w:eastAsia="Times New Roman" w:hAnsi="Univers 55" w:cs="Times New Roman"/>
      <w:b/>
      <w:sz w:val="20"/>
      <w:szCs w:val="20"/>
      <w:lang w:eastAsia="en-CA"/>
    </w:rPr>
  </w:style>
  <w:style w:type="character" w:customStyle="1" w:styleId="Subhead1Char">
    <w:name w:val="Subhead 1 Char"/>
    <w:basedOn w:val="DefaultParagraphFont"/>
    <w:link w:val="Subhead1"/>
    <w:uiPriority w:val="99"/>
    <w:locked/>
    <w:rsid w:val="00516532"/>
    <w:rPr>
      <w:rFonts w:ascii="Univers 55" w:eastAsia="Times New Roman" w:hAnsi="Univers 55" w:cs="Times New Roman"/>
      <w:b/>
      <w:sz w:val="20"/>
      <w:szCs w:val="20"/>
      <w:lang w:eastAsia="en-CA"/>
    </w:rPr>
  </w:style>
  <w:style w:type="character" w:styleId="Hyperlink">
    <w:name w:val="Hyperlink"/>
    <w:basedOn w:val="DefaultParagraphFont"/>
    <w:uiPriority w:val="99"/>
    <w:unhideWhenUsed/>
    <w:rsid w:val="004B6B58"/>
    <w:rPr>
      <w:color w:val="0000FF"/>
      <w:u w:val="single"/>
    </w:rPr>
  </w:style>
  <w:style w:type="paragraph" w:styleId="NormalWeb">
    <w:name w:val="Normal (Web)"/>
    <w:basedOn w:val="Normal"/>
    <w:uiPriority w:val="99"/>
    <w:unhideWhenUsed/>
    <w:rsid w:val="004B6B58"/>
    <w:pPr>
      <w:spacing w:before="100" w:beforeAutospacing="1" w:after="100" w:afterAutospacing="1"/>
    </w:pPr>
    <w:rPr>
      <w:rFonts w:ascii="Times New Roman" w:eastAsia="Times New Roman" w:hAnsi="Times New Roman" w:cs="Times New Roman"/>
      <w:sz w:val="24"/>
      <w:szCs w:val="24"/>
      <w:lang w:eastAsia="en-CA"/>
    </w:rPr>
  </w:style>
  <w:style w:type="paragraph" w:styleId="FootnoteText">
    <w:name w:val="footnote text"/>
    <w:basedOn w:val="Normal"/>
    <w:link w:val="FootnoteTextChar"/>
    <w:rsid w:val="00A8011F"/>
    <w:pPr>
      <w:spacing w:after="0"/>
    </w:pPr>
    <w:rPr>
      <w:sz w:val="20"/>
      <w:szCs w:val="20"/>
    </w:rPr>
  </w:style>
  <w:style w:type="character" w:customStyle="1" w:styleId="FootnoteTextChar">
    <w:name w:val="Footnote Text Char"/>
    <w:basedOn w:val="DefaultParagraphFont"/>
    <w:link w:val="FootnoteText"/>
    <w:rsid w:val="00A8011F"/>
    <w:rPr>
      <w:rFonts w:ascii="Verdana" w:hAnsi="Verdana"/>
      <w:sz w:val="20"/>
      <w:szCs w:val="20"/>
    </w:rPr>
  </w:style>
  <w:style w:type="character" w:styleId="FootnoteReference">
    <w:name w:val="footnote reference"/>
    <w:basedOn w:val="DefaultParagraphFont"/>
    <w:rsid w:val="00A8011F"/>
    <w:rPr>
      <w:vertAlign w:val="superscript"/>
    </w:rPr>
  </w:style>
  <w:style w:type="paragraph" w:styleId="BalloonText">
    <w:name w:val="Balloon Text"/>
    <w:basedOn w:val="Normal"/>
    <w:link w:val="BalloonTextChar"/>
    <w:rsid w:val="005F19A2"/>
    <w:pPr>
      <w:spacing w:after="0"/>
    </w:pPr>
    <w:rPr>
      <w:rFonts w:ascii="Tahoma" w:hAnsi="Tahoma" w:cs="Tahoma"/>
      <w:sz w:val="16"/>
      <w:szCs w:val="16"/>
    </w:rPr>
  </w:style>
  <w:style w:type="character" w:customStyle="1" w:styleId="BalloonTextChar">
    <w:name w:val="Balloon Text Char"/>
    <w:basedOn w:val="DefaultParagraphFont"/>
    <w:link w:val="BalloonText"/>
    <w:rsid w:val="005F19A2"/>
    <w:rPr>
      <w:rFonts w:ascii="Tahoma" w:hAnsi="Tahoma" w:cs="Tahoma"/>
      <w:sz w:val="16"/>
      <w:szCs w:val="16"/>
    </w:rPr>
  </w:style>
  <w:style w:type="paragraph" w:styleId="Header">
    <w:name w:val="header"/>
    <w:basedOn w:val="Normal"/>
    <w:link w:val="HeaderChar"/>
    <w:uiPriority w:val="99"/>
    <w:rsid w:val="00AC69AA"/>
    <w:pPr>
      <w:tabs>
        <w:tab w:val="center" w:pos="4680"/>
        <w:tab w:val="right" w:pos="9360"/>
      </w:tabs>
      <w:spacing w:after="0"/>
    </w:pPr>
  </w:style>
  <w:style w:type="character" w:customStyle="1" w:styleId="HeaderChar">
    <w:name w:val="Header Char"/>
    <w:basedOn w:val="DefaultParagraphFont"/>
    <w:link w:val="Header"/>
    <w:uiPriority w:val="99"/>
    <w:rsid w:val="00AC69AA"/>
    <w:rPr>
      <w:rFonts w:ascii="Verdana" w:hAnsi="Verdana"/>
      <w:sz w:val="21"/>
    </w:rPr>
  </w:style>
  <w:style w:type="paragraph" w:styleId="Footer">
    <w:name w:val="footer"/>
    <w:basedOn w:val="Normal"/>
    <w:link w:val="FooterChar"/>
    <w:uiPriority w:val="99"/>
    <w:rsid w:val="00AC69AA"/>
    <w:pPr>
      <w:tabs>
        <w:tab w:val="center" w:pos="4680"/>
        <w:tab w:val="right" w:pos="9360"/>
      </w:tabs>
      <w:spacing w:after="0"/>
    </w:pPr>
  </w:style>
  <w:style w:type="character" w:customStyle="1" w:styleId="FooterChar">
    <w:name w:val="Footer Char"/>
    <w:basedOn w:val="DefaultParagraphFont"/>
    <w:link w:val="Footer"/>
    <w:uiPriority w:val="99"/>
    <w:rsid w:val="00AC69AA"/>
    <w:rPr>
      <w:rFonts w:ascii="Verdana" w:hAnsi="Verdana"/>
      <w:sz w:val="21"/>
    </w:rPr>
  </w:style>
  <w:style w:type="paragraph" w:customStyle="1" w:styleId="Default">
    <w:name w:val="Default"/>
    <w:rsid w:val="002433AA"/>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zh-TW"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List Number" w:semiHidden="1" w:unhideWhenUsed="1"/>
    <w:lsdException w:name="Title" w:uiPriority="10" w:qFormat="1"/>
    <w:lsdException w:name="Default Paragraph Font" w:semiHidden="1" w:uiPriority="1" w:unhideWhenUsed="1"/>
    <w:lsdException w:name="Body Text" w:uiPriority="99"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2CD"/>
    <w:pPr>
      <w:spacing w:after="120" w:line="240" w:lineRule="auto"/>
    </w:pPr>
    <w:rPr>
      <w:rFonts w:ascii="Verdana" w:hAnsi="Verdana"/>
      <w:sz w:val="21"/>
    </w:rPr>
  </w:style>
  <w:style w:type="paragraph" w:styleId="Heading1">
    <w:name w:val="heading 1"/>
    <w:basedOn w:val="Normal"/>
    <w:next w:val="Normal"/>
    <w:link w:val="Heading1Char"/>
    <w:uiPriority w:val="2"/>
    <w:qFormat/>
    <w:rsid w:val="00E21266"/>
    <w:pPr>
      <w:keepNext/>
      <w:keepLines/>
      <w:spacing w:after="0"/>
      <w:outlineLvl w:val="0"/>
    </w:pPr>
    <w:rPr>
      <w:rFonts w:eastAsiaTheme="majorEastAsia" w:cstheme="majorBidi"/>
      <w:b/>
      <w:bCs/>
      <w:sz w:val="24"/>
      <w:szCs w:val="28"/>
    </w:rPr>
  </w:style>
  <w:style w:type="paragraph" w:styleId="Heading2">
    <w:name w:val="heading 2"/>
    <w:basedOn w:val="Normal"/>
    <w:next w:val="Normal"/>
    <w:link w:val="Heading2Char"/>
    <w:uiPriority w:val="3"/>
    <w:qFormat/>
    <w:rsid w:val="00E21266"/>
    <w:pPr>
      <w:keepNext/>
      <w:keepLines/>
      <w:spacing w:before="1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E21266"/>
    <w:pPr>
      <w:keepNext/>
      <w:keepLines/>
      <w:spacing w:after="0"/>
      <w:outlineLvl w:val="2"/>
    </w:pPr>
    <w:rPr>
      <w:rFonts w:ascii="Arial" w:eastAsiaTheme="majorEastAsia" w:hAnsi="Arial" w:cstheme="majorBidi"/>
      <w:b/>
      <w:bCs/>
      <w:sz w:val="24"/>
    </w:rPr>
  </w:style>
  <w:style w:type="paragraph" w:styleId="Heading4">
    <w:name w:val="heading 4"/>
    <w:basedOn w:val="Normal"/>
    <w:next w:val="Normal"/>
    <w:link w:val="Heading4Char"/>
    <w:uiPriority w:val="9"/>
    <w:qFormat/>
    <w:rsid w:val="00E21266"/>
    <w:pPr>
      <w:keepNext/>
      <w:keepLines/>
      <w:spacing w:before="120"/>
      <w:outlineLvl w:val="3"/>
    </w:pPr>
    <w:rPr>
      <w:rFonts w:ascii="Arial" w:eastAsiaTheme="majorEastAsia" w:hAnsi="Arial" w:cstheme="majorBidi"/>
      <w:b/>
      <w:bCs/>
      <w:iCs/>
      <w:sz w:val="24"/>
    </w:rPr>
  </w:style>
  <w:style w:type="paragraph" w:styleId="Heading5">
    <w:name w:val="heading 5"/>
    <w:basedOn w:val="Normal"/>
    <w:next w:val="Normal"/>
    <w:link w:val="Heading5Char"/>
    <w:uiPriority w:val="9"/>
    <w:semiHidden/>
    <w:unhideWhenUsed/>
    <w:qFormat/>
    <w:rsid w:val="00E21266"/>
    <w:pPr>
      <w:keepNext/>
      <w:keepLines/>
      <w:spacing w:after="0"/>
      <w:outlineLvl w:val="4"/>
    </w:pPr>
    <w:rPr>
      <w:rFonts w:ascii="Times New Roman" w:eastAsiaTheme="majorEastAsia" w:hAnsi="Times New Roman" w:cstheme="majorBidi"/>
      <w:sz w:val="24"/>
      <w:u w:val="single"/>
    </w:rPr>
  </w:style>
  <w:style w:type="paragraph" w:styleId="Heading6">
    <w:name w:val="heading 6"/>
    <w:basedOn w:val="Normal"/>
    <w:next w:val="Normal"/>
    <w:link w:val="Heading6Char"/>
    <w:uiPriority w:val="9"/>
    <w:semiHidden/>
    <w:unhideWhenUsed/>
    <w:qFormat/>
    <w:rsid w:val="00E21266"/>
    <w:pPr>
      <w:keepNext/>
      <w:keepLines/>
      <w:spacing w:after="0"/>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E21266"/>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E2126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12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21266"/>
    <w:rPr>
      <w:rFonts w:ascii="Verdana" w:eastAsiaTheme="majorEastAsia" w:hAnsi="Verdana" w:cstheme="majorBidi"/>
      <w:b/>
      <w:bCs/>
      <w:sz w:val="24"/>
      <w:szCs w:val="28"/>
    </w:rPr>
  </w:style>
  <w:style w:type="character" w:customStyle="1" w:styleId="Heading2Char">
    <w:name w:val="Heading 2 Char"/>
    <w:basedOn w:val="DefaultParagraphFont"/>
    <w:link w:val="Heading2"/>
    <w:uiPriority w:val="3"/>
    <w:rsid w:val="00E21266"/>
    <w:rPr>
      <w:rFonts w:ascii="Verdana" w:eastAsiaTheme="majorEastAsia" w:hAnsi="Verdana" w:cstheme="majorBidi"/>
      <w:b/>
      <w:bCs/>
      <w:sz w:val="24"/>
      <w:szCs w:val="26"/>
    </w:rPr>
  </w:style>
  <w:style w:type="character" w:customStyle="1" w:styleId="Heading3Char">
    <w:name w:val="Heading 3 Char"/>
    <w:basedOn w:val="DefaultParagraphFont"/>
    <w:link w:val="Heading3"/>
    <w:uiPriority w:val="4"/>
    <w:rsid w:val="00E21266"/>
    <w:rPr>
      <w:rFonts w:ascii="Arial" w:eastAsiaTheme="majorEastAsia" w:hAnsi="Arial" w:cstheme="majorBidi"/>
      <w:b/>
      <w:bCs/>
      <w:sz w:val="24"/>
    </w:rPr>
  </w:style>
  <w:style w:type="paragraph" w:styleId="Title">
    <w:name w:val="Title"/>
    <w:basedOn w:val="Normal"/>
    <w:next w:val="Normal"/>
    <w:link w:val="TitleChar"/>
    <w:uiPriority w:val="10"/>
    <w:qFormat/>
    <w:rsid w:val="00E21266"/>
    <w:pPr>
      <w:keepNext/>
      <w:spacing w:after="24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E21266"/>
    <w:rPr>
      <w:rFonts w:ascii="Verdana" w:eastAsiaTheme="majorEastAsia" w:hAnsi="Verdana" w:cstheme="majorBidi"/>
      <w:b/>
      <w:spacing w:val="5"/>
      <w:kern w:val="28"/>
      <w:sz w:val="28"/>
      <w:szCs w:val="52"/>
    </w:rPr>
  </w:style>
  <w:style w:type="character" w:customStyle="1" w:styleId="Heading4Char">
    <w:name w:val="Heading 4 Char"/>
    <w:basedOn w:val="DefaultParagraphFont"/>
    <w:link w:val="Heading4"/>
    <w:uiPriority w:val="9"/>
    <w:rsid w:val="00E21266"/>
    <w:rPr>
      <w:rFonts w:ascii="Arial" w:eastAsiaTheme="majorEastAsia" w:hAnsi="Arial" w:cstheme="majorBidi"/>
      <w:b/>
      <w:bCs/>
      <w:iCs/>
      <w:sz w:val="24"/>
    </w:rPr>
  </w:style>
  <w:style w:type="character" w:customStyle="1" w:styleId="Heading5Char">
    <w:name w:val="Heading 5 Char"/>
    <w:basedOn w:val="DefaultParagraphFont"/>
    <w:link w:val="Heading5"/>
    <w:uiPriority w:val="9"/>
    <w:semiHidden/>
    <w:rsid w:val="00E21266"/>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sid w:val="00E21266"/>
    <w:rPr>
      <w:rFonts w:ascii="Times New Roman" w:eastAsiaTheme="majorEastAsia" w:hAnsi="Times New Roman" w:cstheme="majorBidi"/>
      <w:i/>
      <w:iCs/>
      <w:sz w:val="24"/>
    </w:rPr>
  </w:style>
  <w:style w:type="paragraph" w:styleId="BodyText">
    <w:name w:val="Body Text"/>
    <w:basedOn w:val="Normal"/>
    <w:link w:val="BodyTextChar"/>
    <w:uiPriority w:val="99"/>
    <w:qFormat/>
    <w:rsid w:val="00E21266"/>
    <w:pPr>
      <w:ind w:firstLine="720"/>
    </w:pPr>
  </w:style>
  <w:style w:type="character" w:customStyle="1" w:styleId="BodyTextChar">
    <w:name w:val="Body Text Char"/>
    <w:basedOn w:val="DefaultParagraphFont"/>
    <w:link w:val="BodyText"/>
    <w:uiPriority w:val="99"/>
    <w:rsid w:val="00E21266"/>
    <w:rPr>
      <w:rFonts w:ascii="Verdana" w:hAnsi="Verdana"/>
      <w:sz w:val="21"/>
    </w:rPr>
  </w:style>
  <w:style w:type="paragraph" w:styleId="Subtitle">
    <w:name w:val="Subtitle"/>
    <w:basedOn w:val="Normal"/>
    <w:next w:val="Normal"/>
    <w:link w:val="SubtitleChar"/>
    <w:uiPriority w:val="11"/>
    <w:qFormat/>
    <w:rsid w:val="00E212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126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E21266"/>
    <w:pPr>
      <w:ind w:left="720"/>
      <w:contextualSpacing/>
    </w:pPr>
  </w:style>
  <w:style w:type="paragraph" w:styleId="BodyText2">
    <w:name w:val="Body Text 2"/>
    <w:basedOn w:val="Normal"/>
    <w:link w:val="BodyText2Char"/>
    <w:rsid w:val="00D92AD9"/>
    <w:pPr>
      <w:spacing w:line="480" w:lineRule="auto"/>
    </w:pPr>
  </w:style>
  <w:style w:type="paragraph" w:customStyle="1" w:styleId="OSCPLListNumber">
    <w:name w:val="OSC PL List Number"/>
    <w:basedOn w:val="ListNumber"/>
    <w:qFormat/>
    <w:rsid w:val="00E21266"/>
    <w:rPr>
      <w:rFonts w:eastAsia="Times New Roman"/>
    </w:rPr>
  </w:style>
  <w:style w:type="paragraph" w:styleId="ListNumber">
    <w:name w:val="List Number"/>
    <w:basedOn w:val="Normal"/>
    <w:rsid w:val="00575777"/>
  </w:style>
  <w:style w:type="numbering" w:customStyle="1" w:styleId="OSCPlainLanguage">
    <w:name w:val="OSC Plain Language"/>
    <w:uiPriority w:val="99"/>
    <w:rsid w:val="00BD413E"/>
    <w:pPr>
      <w:numPr>
        <w:numId w:val="8"/>
      </w:numPr>
    </w:pPr>
  </w:style>
  <w:style w:type="character" w:customStyle="1" w:styleId="Heading7Char">
    <w:name w:val="Heading 7 Char"/>
    <w:basedOn w:val="DefaultParagraphFont"/>
    <w:link w:val="Heading7"/>
    <w:uiPriority w:val="9"/>
    <w:semiHidden/>
    <w:rsid w:val="00E21266"/>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212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1266"/>
    <w:rPr>
      <w:rFonts w:asciiTheme="majorHAnsi" w:eastAsiaTheme="majorEastAsia" w:hAnsiTheme="majorHAnsi" w:cstheme="majorBidi"/>
      <w:i/>
      <w:iCs/>
      <w:color w:val="404040" w:themeColor="text1" w:themeTint="BF"/>
      <w:sz w:val="20"/>
      <w:szCs w:val="20"/>
    </w:rPr>
  </w:style>
  <w:style w:type="character" w:styleId="Strong">
    <w:name w:val="Strong"/>
    <w:uiPriority w:val="22"/>
    <w:qFormat/>
    <w:rsid w:val="00E21266"/>
    <w:rPr>
      <w:b/>
      <w:bCs/>
    </w:rPr>
  </w:style>
  <w:style w:type="character" w:styleId="Emphasis">
    <w:name w:val="Emphasis"/>
    <w:uiPriority w:val="20"/>
    <w:qFormat/>
    <w:rsid w:val="00E21266"/>
    <w:rPr>
      <w:i/>
      <w:iCs/>
    </w:rPr>
  </w:style>
  <w:style w:type="paragraph" w:styleId="NoSpacing">
    <w:name w:val="No Spacing"/>
    <w:basedOn w:val="Normal"/>
    <w:link w:val="NoSpacingChar"/>
    <w:uiPriority w:val="1"/>
    <w:qFormat/>
    <w:rsid w:val="00E21266"/>
    <w:pPr>
      <w:spacing w:after="0"/>
    </w:pPr>
    <w:rPr>
      <w:rFonts w:ascii="Times New Roman" w:hAnsi="Times New Roman"/>
      <w:sz w:val="24"/>
    </w:rPr>
  </w:style>
  <w:style w:type="paragraph" w:styleId="Quote">
    <w:name w:val="Quote"/>
    <w:basedOn w:val="Normal"/>
    <w:next w:val="Normal"/>
    <w:link w:val="QuoteChar"/>
    <w:uiPriority w:val="29"/>
    <w:qFormat/>
    <w:rsid w:val="00E21266"/>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E21266"/>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E2126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E21266"/>
    <w:rPr>
      <w:rFonts w:ascii="Times New Roman" w:hAnsi="Times New Roman"/>
      <w:b/>
      <w:bCs/>
      <w:i/>
      <w:iCs/>
      <w:color w:val="4F81BD" w:themeColor="accent1"/>
      <w:sz w:val="24"/>
    </w:rPr>
  </w:style>
  <w:style w:type="character" w:styleId="SubtleEmphasis">
    <w:name w:val="Subtle Emphasis"/>
    <w:uiPriority w:val="19"/>
    <w:qFormat/>
    <w:rsid w:val="00E21266"/>
    <w:rPr>
      <w:i/>
      <w:iCs/>
      <w:color w:val="808080" w:themeColor="text1" w:themeTint="7F"/>
    </w:rPr>
  </w:style>
  <w:style w:type="character" w:styleId="IntenseEmphasis">
    <w:name w:val="Intense Emphasis"/>
    <w:uiPriority w:val="21"/>
    <w:qFormat/>
    <w:rsid w:val="00E21266"/>
    <w:rPr>
      <w:b/>
      <w:bCs/>
      <w:i/>
      <w:iCs/>
      <w:color w:val="4F81BD" w:themeColor="accent1"/>
    </w:rPr>
  </w:style>
  <w:style w:type="character" w:styleId="SubtleReference">
    <w:name w:val="Subtle Reference"/>
    <w:uiPriority w:val="31"/>
    <w:qFormat/>
    <w:rsid w:val="00E21266"/>
    <w:rPr>
      <w:smallCaps/>
      <w:color w:val="C0504D" w:themeColor="accent2"/>
      <w:u w:val="single"/>
    </w:rPr>
  </w:style>
  <w:style w:type="character" w:styleId="IntenseReference">
    <w:name w:val="Intense Reference"/>
    <w:uiPriority w:val="32"/>
    <w:qFormat/>
    <w:rsid w:val="00E21266"/>
    <w:rPr>
      <w:b/>
      <w:bCs/>
      <w:smallCaps/>
      <w:color w:val="C0504D" w:themeColor="accent2"/>
      <w:spacing w:val="5"/>
      <w:u w:val="single"/>
    </w:rPr>
  </w:style>
  <w:style w:type="character" w:styleId="BookTitle">
    <w:name w:val="Book Title"/>
    <w:uiPriority w:val="33"/>
    <w:qFormat/>
    <w:rsid w:val="00E21266"/>
    <w:rPr>
      <w:b/>
      <w:bCs/>
      <w:smallCaps/>
      <w:spacing w:val="5"/>
    </w:rPr>
  </w:style>
  <w:style w:type="paragraph" w:styleId="TOCHeading">
    <w:name w:val="TOC Heading"/>
    <w:basedOn w:val="Heading1"/>
    <w:next w:val="Normal"/>
    <w:uiPriority w:val="39"/>
    <w:semiHidden/>
    <w:unhideWhenUsed/>
    <w:qFormat/>
    <w:rsid w:val="00E21266"/>
    <w:pPr>
      <w:spacing w:before="480"/>
      <w:outlineLvl w:val="9"/>
    </w:pPr>
    <w:rPr>
      <w:rFonts w:asciiTheme="majorHAnsi" w:hAnsiTheme="majorHAnsi"/>
      <w:color w:val="365F91" w:themeColor="accent1" w:themeShade="BF"/>
    </w:rPr>
  </w:style>
  <w:style w:type="paragraph" w:styleId="Caption">
    <w:name w:val="caption"/>
    <w:basedOn w:val="Normal"/>
    <w:next w:val="Normal"/>
    <w:uiPriority w:val="35"/>
    <w:semiHidden/>
    <w:unhideWhenUsed/>
    <w:qFormat/>
    <w:rsid w:val="00E21266"/>
    <w:pPr>
      <w:spacing w:after="200"/>
    </w:pPr>
    <w:rPr>
      <w:b/>
      <w:bCs/>
      <w:color w:val="4F81BD" w:themeColor="accent1"/>
      <w:sz w:val="18"/>
      <w:szCs w:val="18"/>
    </w:rPr>
  </w:style>
  <w:style w:type="character" w:customStyle="1" w:styleId="NoSpacingChar">
    <w:name w:val="No Spacing Char"/>
    <w:basedOn w:val="DefaultParagraphFont"/>
    <w:link w:val="NoSpacing"/>
    <w:uiPriority w:val="1"/>
    <w:rsid w:val="00E21266"/>
    <w:rPr>
      <w:rFonts w:ascii="Times New Roman" w:hAnsi="Times New Roman"/>
      <w:sz w:val="24"/>
    </w:rPr>
  </w:style>
  <w:style w:type="paragraph" w:styleId="NormalIndent">
    <w:name w:val="Normal Indent"/>
    <w:basedOn w:val="Normal"/>
    <w:rsid w:val="00D92AD9"/>
    <w:pPr>
      <w:ind w:left="720"/>
    </w:pPr>
  </w:style>
  <w:style w:type="character" w:customStyle="1" w:styleId="BodyText2Char">
    <w:name w:val="Body Text 2 Char"/>
    <w:basedOn w:val="DefaultParagraphFont"/>
    <w:link w:val="BodyText2"/>
    <w:rsid w:val="00D92AD9"/>
    <w:rPr>
      <w:rFonts w:ascii="Verdana" w:hAnsi="Verdana"/>
      <w:sz w:val="21"/>
    </w:rPr>
  </w:style>
  <w:style w:type="paragraph" w:styleId="BodyText3">
    <w:name w:val="Body Text 3"/>
    <w:basedOn w:val="Normal"/>
    <w:link w:val="BodyText3Char"/>
    <w:rsid w:val="00D92AD9"/>
    <w:rPr>
      <w:sz w:val="16"/>
      <w:szCs w:val="16"/>
    </w:rPr>
  </w:style>
  <w:style w:type="character" w:customStyle="1" w:styleId="BodyText3Char">
    <w:name w:val="Body Text 3 Char"/>
    <w:basedOn w:val="DefaultParagraphFont"/>
    <w:link w:val="BodyText3"/>
    <w:rsid w:val="00D92AD9"/>
    <w:rPr>
      <w:rFonts w:ascii="Verdana" w:hAnsi="Verdana"/>
      <w:sz w:val="16"/>
      <w:szCs w:val="16"/>
    </w:rPr>
  </w:style>
  <w:style w:type="paragraph" w:styleId="BlockText">
    <w:name w:val="Block Text"/>
    <w:basedOn w:val="Normal"/>
    <w:rsid w:val="00D92AD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rsid w:val="00D92AD9"/>
    <w:pPr>
      <w:ind w:firstLine="360"/>
    </w:pPr>
  </w:style>
  <w:style w:type="character" w:customStyle="1" w:styleId="BodyTextFirstIndentChar">
    <w:name w:val="Body Text First Indent Char"/>
    <w:basedOn w:val="BodyTextChar"/>
    <w:link w:val="BodyTextFirstIndent"/>
    <w:rsid w:val="00D92AD9"/>
    <w:rPr>
      <w:rFonts w:ascii="Verdana" w:hAnsi="Verdana"/>
      <w:sz w:val="21"/>
    </w:rPr>
  </w:style>
  <w:style w:type="paragraph" w:styleId="BodyTextIndent">
    <w:name w:val="Body Text Indent"/>
    <w:basedOn w:val="Normal"/>
    <w:link w:val="BodyTextIndentChar"/>
    <w:rsid w:val="00D92AD9"/>
    <w:pPr>
      <w:ind w:left="283"/>
    </w:pPr>
  </w:style>
  <w:style w:type="character" w:customStyle="1" w:styleId="BodyTextIndentChar">
    <w:name w:val="Body Text Indent Char"/>
    <w:basedOn w:val="DefaultParagraphFont"/>
    <w:link w:val="BodyTextIndent"/>
    <w:rsid w:val="00D92AD9"/>
    <w:rPr>
      <w:rFonts w:ascii="Verdana" w:hAnsi="Verdana"/>
      <w:sz w:val="21"/>
    </w:rPr>
  </w:style>
  <w:style w:type="paragraph" w:styleId="BodyTextFirstIndent2">
    <w:name w:val="Body Text First Indent 2"/>
    <w:basedOn w:val="BodyTextIndent"/>
    <w:link w:val="BodyTextFirstIndent2Char"/>
    <w:rsid w:val="00D92AD9"/>
    <w:pPr>
      <w:ind w:left="360" w:firstLine="360"/>
    </w:pPr>
  </w:style>
  <w:style w:type="character" w:customStyle="1" w:styleId="BodyTextFirstIndent2Char">
    <w:name w:val="Body Text First Indent 2 Char"/>
    <w:basedOn w:val="BodyTextIndentChar"/>
    <w:link w:val="BodyTextFirstIndent2"/>
    <w:rsid w:val="00D92AD9"/>
    <w:rPr>
      <w:rFonts w:ascii="Verdana" w:hAnsi="Verdana"/>
      <w:sz w:val="21"/>
    </w:rPr>
  </w:style>
  <w:style w:type="character" w:customStyle="1" w:styleId="StyleArial">
    <w:name w:val="Style Arial"/>
    <w:uiPriority w:val="99"/>
    <w:rsid w:val="00683A6A"/>
    <w:rPr>
      <w:rFonts w:ascii="Arial" w:hAnsi="Arial"/>
    </w:rPr>
  </w:style>
  <w:style w:type="paragraph" w:customStyle="1" w:styleId="Subhead1">
    <w:name w:val="Subhead 1"/>
    <w:basedOn w:val="Normal"/>
    <w:next w:val="BodyText"/>
    <w:link w:val="Subhead1Char"/>
    <w:uiPriority w:val="99"/>
    <w:rsid w:val="00516532"/>
    <w:pPr>
      <w:spacing w:after="0"/>
    </w:pPr>
    <w:rPr>
      <w:rFonts w:ascii="Univers 55" w:eastAsia="Times New Roman" w:hAnsi="Univers 55" w:cs="Times New Roman"/>
      <w:b/>
      <w:sz w:val="20"/>
      <w:szCs w:val="20"/>
      <w:lang w:eastAsia="en-CA"/>
    </w:rPr>
  </w:style>
  <w:style w:type="character" w:customStyle="1" w:styleId="Subhead1Char">
    <w:name w:val="Subhead 1 Char"/>
    <w:basedOn w:val="DefaultParagraphFont"/>
    <w:link w:val="Subhead1"/>
    <w:uiPriority w:val="99"/>
    <w:locked/>
    <w:rsid w:val="00516532"/>
    <w:rPr>
      <w:rFonts w:ascii="Univers 55" w:eastAsia="Times New Roman" w:hAnsi="Univers 55" w:cs="Times New Roman"/>
      <w:b/>
      <w:sz w:val="20"/>
      <w:szCs w:val="20"/>
      <w:lang w:eastAsia="en-CA"/>
    </w:rPr>
  </w:style>
  <w:style w:type="character" w:styleId="Hyperlink">
    <w:name w:val="Hyperlink"/>
    <w:basedOn w:val="DefaultParagraphFont"/>
    <w:uiPriority w:val="99"/>
    <w:unhideWhenUsed/>
    <w:rsid w:val="004B6B58"/>
    <w:rPr>
      <w:color w:val="0000FF"/>
      <w:u w:val="single"/>
    </w:rPr>
  </w:style>
  <w:style w:type="paragraph" w:styleId="NormalWeb">
    <w:name w:val="Normal (Web)"/>
    <w:basedOn w:val="Normal"/>
    <w:uiPriority w:val="99"/>
    <w:unhideWhenUsed/>
    <w:rsid w:val="004B6B58"/>
    <w:pPr>
      <w:spacing w:before="100" w:beforeAutospacing="1" w:after="100" w:afterAutospacing="1"/>
    </w:pPr>
    <w:rPr>
      <w:rFonts w:ascii="Times New Roman" w:eastAsia="Times New Roman" w:hAnsi="Times New Roman" w:cs="Times New Roman"/>
      <w:sz w:val="24"/>
      <w:szCs w:val="24"/>
      <w:lang w:eastAsia="en-CA"/>
    </w:rPr>
  </w:style>
  <w:style w:type="paragraph" w:styleId="FootnoteText">
    <w:name w:val="footnote text"/>
    <w:basedOn w:val="Normal"/>
    <w:link w:val="FootnoteTextChar"/>
    <w:rsid w:val="00A8011F"/>
    <w:pPr>
      <w:spacing w:after="0"/>
    </w:pPr>
    <w:rPr>
      <w:sz w:val="20"/>
      <w:szCs w:val="20"/>
    </w:rPr>
  </w:style>
  <w:style w:type="character" w:customStyle="1" w:styleId="FootnoteTextChar">
    <w:name w:val="Footnote Text Char"/>
    <w:basedOn w:val="DefaultParagraphFont"/>
    <w:link w:val="FootnoteText"/>
    <w:rsid w:val="00A8011F"/>
    <w:rPr>
      <w:rFonts w:ascii="Verdana" w:hAnsi="Verdana"/>
      <w:sz w:val="20"/>
      <w:szCs w:val="20"/>
    </w:rPr>
  </w:style>
  <w:style w:type="character" w:styleId="FootnoteReference">
    <w:name w:val="footnote reference"/>
    <w:basedOn w:val="DefaultParagraphFont"/>
    <w:rsid w:val="00A8011F"/>
    <w:rPr>
      <w:vertAlign w:val="superscript"/>
    </w:rPr>
  </w:style>
  <w:style w:type="paragraph" w:styleId="BalloonText">
    <w:name w:val="Balloon Text"/>
    <w:basedOn w:val="Normal"/>
    <w:link w:val="BalloonTextChar"/>
    <w:rsid w:val="005F19A2"/>
    <w:pPr>
      <w:spacing w:after="0"/>
    </w:pPr>
    <w:rPr>
      <w:rFonts w:ascii="Tahoma" w:hAnsi="Tahoma" w:cs="Tahoma"/>
      <w:sz w:val="16"/>
      <w:szCs w:val="16"/>
    </w:rPr>
  </w:style>
  <w:style w:type="character" w:customStyle="1" w:styleId="BalloonTextChar">
    <w:name w:val="Balloon Text Char"/>
    <w:basedOn w:val="DefaultParagraphFont"/>
    <w:link w:val="BalloonText"/>
    <w:rsid w:val="005F19A2"/>
    <w:rPr>
      <w:rFonts w:ascii="Tahoma" w:hAnsi="Tahoma" w:cs="Tahoma"/>
      <w:sz w:val="16"/>
      <w:szCs w:val="16"/>
    </w:rPr>
  </w:style>
  <w:style w:type="paragraph" w:styleId="Header">
    <w:name w:val="header"/>
    <w:basedOn w:val="Normal"/>
    <w:link w:val="HeaderChar"/>
    <w:uiPriority w:val="99"/>
    <w:rsid w:val="00AC69AA"/>
    <w:pPr>
      <w:tabs>
        <w:tab w:val="center" w:pos="4680"/>
        <w:tab w:val="right" w:pos="9360"/>
      </w:tabs>
      <w:spacing w:after="0"/>
    </w:pPr>
  </w:style>
  <w:style w:type="character" w:customStyle="1" w:styleId="HeaderChar">
    <w:name w:val="Header Char"/>
    <w:basedOn w:val="DefaultParagraphFont"/>
    <w:link w:val="Header"/>
    <w:uiPriority w:val="99"/>
    <w:rsid w:val="00AC69AA"/>
    <w:rPr>
      <w:rFonts w:ascii="Verdana" w:hAnsi="Verdana"/>
      <w:sz w:val="21"/>
    </w:rPr>
  </w:style>
  <w:style w:type="paragraph" w:styleId="Footer">
    <w:name w:val="footer"/>
    <w:basedOn w:val="Normal"/>
    <w:link w:val="FooterChar"/>
    <w:uiPriority w:val="99"/>
    <w:rsid w:val="00AC69AA"/>
    <w:pPr>
      <w:tabs>
        <w:tab w:val="center" w:pos="4680"/>
        <w:tab w:val="right" w:pos="9360"/>
      </w:tabs>
      <w:spacing w:after="0"/>
    </w:pPr>
  </w:style>
  <w:style w:type="character" w:customStyle="1" w:styleId="FooterChar">
    <w:name w:val="Footer Char"/>
    <w:basedOn w:val="DefaultParagraphFont"/>
    <w:link w:val="Footer"/>
    <w:uiPriority w:val="99"/>
    <w:rsid w:val="00AC69AA"/>
    <w:rPr>
      <w:rFonts w:ascii="Verdana" w:hAnsi="Verdana"/>
      <w:sz w:val="21"/>
    </w:rPr>
  </w:style>
  <w:style w:type="paragraph" w:customStyle="1" w:styleId="Default">
    <w:name w:val="Default"/>
    <w:rsid w:val="002433AA"/>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2728">
      <w:bodyDiv w:val="1"/>
      <w:marLeft w:val="0"/>
      <w:marRight w:val="0"/>
      <w:marTop w:val="0"/>
      <w:marBottom w:val="0"/>
      <w:divBdr>
        <w:top w:val="none" w:sz="0" w:space="0" w:color="auto"/>
        <w:left w:val="none" w:sz="0" w:space="0" w:color="auto"/>
        <w:bottom w:val="none" w:sz="0" w:space="0" w:color="auto"/>
        <w:right w:val="none" w:sz="0" w:space="0" w:color="auto"/>
      </w:divBdr>
      <w:divsChild>
        <w:div w:id="1143691609">
          <w:marLeft w:val="0"/>
          <w:marRight w:val="0"/>
          <w:marTop w:val="0"/>
          <w:marBottom w:val="0"/>
          <w:divBdr>
            <w:top w:val="none" w:sz="0" w:space="0" w:color="auto"/>
            <w:left w:val="none" w:sz="0" w:space="0" w:color="auto"/>
            <w:bottom w:val="none" w:sz="0" w:space="0" w:color="auto"/>
            <w:right w:val="none" w:sz="0" w:space="0" w:color="auto"/>
          </w:divBdr>
          <w:divsChild>
            <w:div w:id="190149115">
              <w:marLeft w:val="0"/>
              <w:marRight w:val="0"/>
              <w:marTop w:val="0"/>
              <w:marBottom w:val="0"/>
              <w:divBdr>
                <w:top w:val="none" w:sz="0" w:space="0" w:color="auto"/>
                <w:left w:val="none" w:sz="0" w:space="0" w:color="auto"/>
                <w:bottom w:val="none" w:sz="0" w:space="0" w:color="auto"/>
                <w:right w:val="none" w:sz="0" w:space="0" w:color="auto"/>
              </w:divBdr>
              <w:divsChild>
                <w:div w:id="1050836027">
                  <w:marLeft w:val="0"/>
                  <w:marRight w:val="0"/>
                  <w:marTop w:val="0"/>
                  <w:marBottom w:val="0"/>
                  <w:divBdr>
                    <w:top w:val="none" w:sz="0" w:space="0" w:color="auto"/>
                    <w:left w:val="none" w:sz="0" w:space="0" w:color="auto"/>
                    <w:bottom w:val="none" w:sz="0" w:space="0" w:color="auto"/>
                    <w:right w:val="none" w:sz="0" w:space="0" w:color="auto"/>
                  </w:divBdr>
                  <w:divsChild>
                    <w:div w:id="1608464456">
                      <w:marLeft w:val="0"/>
                      <w:marRight w:val="0"/>
                      <w:marTop w:val="0"/>
                      <w:marBottom w:val="0"/>
                      <w:divBdr>
                        <w:top w:val="none" w:sz="0" w:space="0" w:color="auto"/>
                        <w:left w:val="none" w:sz="0" w:space="0" w:color="auto"/>
                        <w:bottom w:val="none" w:sz="0" w:space="0" w:color="auto"/>
                        <w:right w:val="none" w:sz="0" w:space="0" w:color="auto"/>
                      </w:divBdr>
                      <w:divsChild>
                        <w:div w:id="361637670">
                          <w:marLeft w:val="0"/>
                          <w:marRight w:val="0"/>
                          <w:marTop w:val="0"/>
                          <w:marBottom w:val="0"/>
                          <w:divBdr>
                            <w:top w:val="none" w:sz="0" w:space="0" w:color="auto"/>
                            <w:left w:val="none" w:sz="0" w:space="0" w:color="auto"/>
                            <w:bottom w:val="none" w:sz="0" w:space="0" w:color="auto"/>
                            <w:right w:val="none" w:sz="0" w:space="0" w:color="auto"/>
                          </w:divBdr>
                          <w:divsChild>
                            <w:div w:id="1893728446">
                              <w:marLeft w:val="0"/>
                              <w:marRight w:val="0"/>
                              <w:marTop w:val="0"/>
                              <w:marBottom w:val="0"/>
                              <w:divBdr>
                                <w:top w:val="none" w:sz="0" w:space="0" w:color="auto"/>
                                <w:left w:val="none" w:sz="0" w:space="0" w:color="auto"/>
                                <w:bottom w:val="none" w:sz="0" w:space="0" w:color="auto"/>
                                <w:right w:val="none" w:sz="0" w:space="0" w:color="auto"/>
                              </w:divBdr>
                              <w:divsChild>
                                <w:div w:id="1844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8A"/>
    <w:rsid w:val="001F2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3EDDCF94544A99A35715C3289E5EDB">
    <w:name w:val="673EDDCF94544A99A35715C3289E5EDB"/>
    <w:rsid w:val="001F27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3EDDCF94544A99A35715C3289E5EDB">
    <w:name w:val="673EDDCF94544A99A35715C3289E5EDB"/>
    <w:rsid w:val="001F2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396B-53B5-4F36-A048-8FAE2ED4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6523</Words>
  <Characters>37182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2014-12-22T21:44:00Z</cp:lastPrinted>
  <dcterms:created xsi:type="dcterms:W3CDTF">2015-01-12T17:20:00Z</dcterms:created>
  <dcterms:modified xsi:type="dcterms:W3CDTF">2015-01-12T17:23:00Z</dcterms:modified>
</cp:coreProperties>
</file>