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49" w:rsidRDefault="007D4981" w:rsidP="00394469">
      <w:pPr>
        <w:ind w:left="7371"/>
        <w:rPr>
          <w:rFonts w:ascii="Arial" w:hAnsi="Arial" w:cs="Arial"/>
          <w:sz w:val="20"/>
          <w:szCs w:val="20"/>
          <w:lang w:val="en-US"/>
        </w:rPr>
      </w:pPr>
      <w:r>
        <w:rPr>
          <w:rFonts w:ascii="Arial" w:hAnsi="Arial" w:cs="Arial"/>
          <w:sz w:val="20"/>
          <w:szCs w:val="20"/>
          <w:lang w:val="en-US"/>
        </w:rPr>
        <w:t>August 3</w:t>
      </w:r>
      <w:r w:rsidRPr="007D4981">
        <w:rPr>
          <w:rFonts w:ascii="Arial" w:hAnsi="Arial" w:cs="Arial"/>
          <w:sz w:val="20"/>
          <w:szCs w:val="20"/>
          <w:vertAlign w:val="superscript"/>
          <w:lang w:val="en-US"/>
        </w:rPr>
        <w:t>rd</w:t>
      </w:r>
      <w:r>
        <w:rPr>
          <w:rFonts w:ascii="Arial" w:hAnsi="Arial" w:cs="Arial"/>
          <w:sz w:val="20"/>
          <w:szCs w:val="20"/>
          <w:lang w:val="en-US"/>
        </w:rPr>
        <w:t xml:space="preserve"> 2012</w:t>
      </w:r>
    </w:p>
    <w:p w:rsidR="00191B45" w:rsidRDefault="00191B45" w:rsidP="00394469">
      <w:pPr>
        <w:ind w:left="7371"/>
        <w:rPr>
          <w:rFonts w:ascii="Arial" w:hAnsi="Arial" w:cs="Arial"/>
          <w:sz w:val="20"/>
          <w:szCs w:val="20"/>
          <w:lang w:val="en-US"/>
        </w:rPr>
      </w:pPr>
    </w:p>
    <w:p w:rsidR="00191B45" w:rsidRDefault="00191B45" w:rsidP="00394469">
      <w:pPr>
        <w:ind w:left="7371"/>
        <w:rPr>
          <w:rFonts w:ascii="Arial" w:hAnsi="Arial" w:cs="Arial"/>
          <w:sz w:val="20"/>
          <w:szCs w:val="20"/>
          <w:lang w:val="en-US"/>
        </w:rPr>
      </w:pPr>
    </w:p>
    <w:p w:rsidR="00191B45" w:rsidRDefault="00191B45" w:rsidP="00394469">
      <w:pPr>
        <w:ind w:left="7371"/>
        <w:rPr>
          <w:rFonts w:ascii="Arial" w:hAnsi="Arial" w:cs="Arial"/>
          <w:sz w:val="20"/>
          <w:szCs w:val="20"/>
          <w:lang w:val="en-US"/>
        </w:rPr>
      </w:pPr>
    </w:p>
    <w:p w:rsidR="00191B45" w:rsidRDefault="007D4981" w:rsidP="00CF01D0">
      <w:pPr>
        <w:autoSpaceDE w:val="0"/>
        <w:autoSpaceDN w:val="0"/>
        <w:adjustRightInd w:val="0"/>
        <w:jc w:val="both"/>
        <w:rPr>
          <w:rFonts w:ascii="Arial" w:hAnsi="Arial" w:cs="Arial"/>
          <w:sz w:val="20"/>
          <w:szCs w:val="20"/>
          <w:lang w:val="en-US"/>
        </w:rPr>
      </w:pPr>
      <w:r w:rsidRPr="00554164">
        <w:rPr>
          <w:rFonts w:ascii="Georgia" w:hAnsi="Georgia" w:cs="Georgia"/>
          <w:b/>
          <w:u w:val="single"/>
        </w:rPr>
        <w:t xml:space="preserve">ESMA </w:t>
      </w:r>
      <w:r w:rsidR="00CF01D0">
        <w:rPr>
          <w:rFonts w:ascii="Georgia" w:hAnsi="Georgia" w:cs="Georgia"/>
          <w:b/>
          <w:u w:val="single"/>
        </w:rPr>
        <w:t>–</w:t>
      </w:r>
      <w:r w:rsidRPr="00554164">
        <w:rPr>
          <w:rFonts w:ascii="Georgia" w:hAnsi="Georgia" w:cs="Georgia"/>
          <w:b/>
          <w:u w:val="single"/>
        </w:rPr>
        <w:t xml:space="preserve"> </w:t>
      </w:r>
      <w:r w:rsidR="00CF01D0">
        <w:rPr>
          <w:rFonts w:ascii="Georgia" w:hAnsi="Georgia" w:cs="Georgia"/>
          <w:b/>
          <w:u w:val="single"/>
        </w:rPr>
        <w:t xml:space="preserve">Consultation on the </w:t>
      </w:r>
      <w:r w:rsidRPr="00554164">
        <w:rPr>
          <w:rFonts w:ascii="Georgia" w:hAnsi="Georgia" w:cs="Georgia"/>
          <w:b/>
          <w:u w:val="single"/>
        </w:rPr>
        <w:t>Draft Technical Standards for the Regulation on OTC Derivatives, CCPs and Trade Repositories</w:t>
      </w:r>
    </w:p>
    <w:p w:rsidR="00191B45" w:rsidRDefault="00191B45" w:rsidP="00394469">
      <w:pPr>
        <w:ind w:left="7371"/>
        <w:rPr>
          <w:rFonts w:ascii="Arial" w:hAnsi="Arial" w:cs="Arial"/>
          <w:sz w:val="20"/>
          <w:szCs w:val="20"/>
          <w:lang w:val="en-US"/>
        </w:rPr>
      </w:pPr>
    </w:p>
    <w:p w:rsidR="00191B45" w:rsidRPr="00017E9A" w:rsidRDefault="00191B45" w:rsidP="00191B45">
      <w:pPr>
        <w:autoSpaceDE w:val="0"/>
        <w:autoSpaceDN w:val="0"/>
        <w:adjustRightInd w:val="0"/>
        <w:rPr>
          <w:rFonts w:eastAsia="Calibri" w:cs="Arial"/>
          <w:u w:val="single"/>
        </w:rPr>
      </w:pPr>
      <w:r w:rsidRPr="00017E9A">
        <w:rPr>
          <w:rFonts w:eastAsia="Calibri" w:cs="Arial"/>
          <w:u w:val="single"/>
        </w:rPr>
        <w:t xml:space="preserve">Introduction to BT Pension </w:t>
      </w:r>
      <w:r>
        <w:rPr>
          <w:rFonts w:eastAsia="Calibri" w:cs="Arial"/>
          <w:u w:val="single"/>
        </w:rPr>
        <w:t>S</w:t>
      </w:r>
      <w:r w:rsidRPr="00017E9A">
        <w:rPr>
          <w:rFonts w:eastAsia="Calibri" w:cs="Arial"/>
          <w:u w:val="single"/>
        </w:rPr>
        <w:t>cheme</w:t>
      </w:r>
    </w:p>
    <w:p w:rsidR="00191B45" w:rsidRDefault="00191B45" w:rsidP="00191B45">
      <w:pPr>
        <w:autoSpaceDE w:val="0"/>
        <w:autoSpaceDN w:val="0"/>
        <w:adjustRightInd w:val="0"/>
        <w:rPr>
          <w:rFonts w:ascii="Verdana" w:eastAsia="Calibri" w:hAnsi="Verdana" w:cs="Verdana"/>
        </w:rPr>
      </w:pPr>
    </w:p>
    <w:p w:rsidR="00726AC9" w:rsidRDefault="00191B45" w:rsidP="00726AC9">
      <w:r w:rsidRPr="00090E9A">
        <w:t>By way of background, the BT Pension Scheme (BTPS) is the UK’s largest corporate pension scheme, managing assets worth around £3</w:t>
      </w:r>
      <w:r>
        <w:t>8</w:t>
      </w:r>
      <w:r w:rsidRPr="00090E9A">
        <w:t xml:space="preserve"> billion, paying over £2bn in pension payments per year and </w:t>
      </w:r>
      <w:r>
        <w:t>accountable to</w:t>
      </w:r>
      <w:r w:rsidRPr="00090E9A">
        <w:t xml:space="preserve"> some 3</w:t>
      </w:r>
      <w:r>
        <w:t>3</w:t>
      </w:r>
      <w:r w:rsidRPr="00090E9A">
        <w:t xml:space="preserve">0,000 beneficiaries under a defined benefit (DB) structure. </w:t>
      </w:r>
      <w:r>
        <w:t>As a pension scheme in the UK we are limited by law from the use of derivatives except for the purposes of risk mitigation or facilitating portfolio management.</w:t>
      </w:r>
      <w:r w:rsidR="00726AC9" w:rsidRPr="00726AC9">
        <w:t xml:space="preserve"> </w:t>
      </w:r>
      <w:r w:rsidR="00726AC9">
        <w:t>For the basis of this regulation, we believe that BTPS is defined as a “financial counterparty” under IORP directive.</w:t>
      </w:r>
    </w:p>
    <w:p w:rsidR="00554164" w:rsidRDefault="00554164" w:rsidP="00191B45">
      <w:pPr>
        <w:autoSpaceDE w:val="0"/>
        <w:autoSpaceDN w:val="0"/>
        <w:adjustRightInd w:val="0"/>
      </w:pPr>
    </w:p>
    <w:p w:rsidR="00191B45" w:rsidRDefault="00191B45" w:rsidP="00191B45">
      <w:pPr>
        <w:autoSpaceDE w:val="0"/>
        <w:autoSpaceDN w:val="0"/>
        <w:adjustRightInd w:val="0"/>
      </w:pPr>
      <w:r>
        <w:t xml:space="preserve">Our derivative usage to date has been limited in comparison with our pension scheme peers across Europe. We use derivatives to </w:t>
      </w:r>
      <w:r w:rsidR="00554164">
        <w:t xml:space="preserve">1) </w:t>
      </w:r>
      <w:r>
        <w:t xml:space="preserve">rebalance to </w:t>
      </w:r>
      <w:r w:rsidR="00554164">
        <w:t>agreed asset allocation targets</w:t>
      </w:r>
      <w:r>
        <w:t xml:space="preserve"> </w:t>
      </w:r>
      <w:r w:rsidR="00554164">
        <w:t xml:space="preserve">2) </w:t>
      </w:r>
      <w:r w:rsidRPr="00673A68">
        <w:t>managing the scheme’s asset mix profile</w:t>
      </w:r>
      <w:r>
        <w:t xml:space="preserve"> where the derivative is more effective than the physical and</w:t>
      </w:r>
      <w:r w:rsidR="00554164">
        <w:t xml:space="preserve"> 3)</w:t>
      </w:r>
      <w:r>
        <w:t xml:space="preserve"> to hedge the liabilities. </w:t>
      </w:r>
      <w:r w:rsidRPr="00857C53">
        <w:t>The third case</w:t>
      </w:r>
      <w:r>
        <w:t xml:space="preserve"> is by far the most significant an important of these current uses. As we continue to reduce risk in the scheme in line with its increasing maturity, we intend to increase our liability hedging with the ultimate long term ambition of removing all risks where possible from the liabilities.  To clarify, the targeted largest risks of the schemes’ liabilities are inflation (RPI and CPI), interest rate (UK) and longevity. </w:t>
      </w:r>
      <w:r w:rsidRPr="00FB12C5">
        <w:t xml:space="preserve">We currently trade bilaterally with a portfolio of </w:t>
      </w:r>
      <w:r>
        <w:t>approx ten well-</w:t>
      </w:r>
      <w:r w:rsidRPr="00FB12C5">
        <w:t>rated bank counterparties under bilateral CSAs and utilising gilts (index linked and nominal) as collateral.</w:t>
      </w:r>
      <w:r>
        <w:t xml:space="preserve"> </w:t>
      </w:r>
    </w:p>
    <w:p w:rsidR="00554164" w:rsidRDefault="00554164" w:rsidP="00191B45"/>
    <w:p w:rsidR="00191B45" w:rsidRDefault="00191B45" w:rsidP="00191B45">
      <w:r>
        <w:t>We would also like to note a connection to the proposed solvency based regulation for IORPs that is currently being proposed by the Commission and EIOPA. This will force pension schemes to provide solvency capital against any residual risk. In contrast, it seems that centralised clearing will lead to increased costs of hedging. This will lead to an interesting exercise for many pension schemes to analyse the relative costs and benefits before entering into any material hedging programmes in future: in essence, one regulation strongly encourages greater risk management, while the other introduces significant additional cost burdens on an attempt to do so.</w:t>
      </w:r>
    </w:p>
    <w:p w:rsidR="00726AC9" w:rsidRDefault="00726AC9" w:rsidP="00191B45"/>
    <w:p w:rsidR="00191B45" w:rsidRDefault="00191B45" w:rsidP="00191B45">
      <w:r>
        <w:t>As we currently only have a small exposure to derivatives, we have not been directly engaged in the EMIR consultations beyond feeding into responses made by the UK’s National Association of Pension Funds (NAPF). However with our plans to increase usage, we are currently carrying out two pieces of quantitative analysis which we will distribute on completion. We are looking at modelling the required size of our expected inflation hedging programme and estimated annual derivative usage over the next 10 years and secondly we are working with our potential counterparties to estimate the extra costs of transacting bilateral derivatives outside of clearing in term of credit and capital costs.</w:t>
      </w:r>
    </w:p>
    <w:p w:rsidR="00726AC9" w:rsidRDefault="00726AC9" w:rsidP="00191B45"/>
    <w:p w:rsidR="00191B45" w:rsidRPr="00B1548E" w:rsidRDefault="00191B45" w:rsidP="00191B45">
      <w:pPr>
        <w:rPr>
          <w:u w:val="single"/>
        </w:rPr>
      </w:pPr>
      <w:r w:rsidRPr="00B1548E">
        <w:rPr>
          <w:u w:val="single"/>
        </w:rPr>
        <w:t>General comments:</w:t>
      </w:r>
    </w:p>
    <w:p w:rsidR="00191B45" w:rsidRDefault="00191B45" w:rsidP="00191B45">
      <w:r>
        <w:t>We welcome the temporary (and transitional) exception for pension schemes for central clearing, this concession for pension schemes needs to be applied consistently across all the current reviews of derivative regulations (including capital requirements such as Basel III and CRD IV). We are concerned that the capital requirements on non cleared  trades will be onerous for the banks, and no doubt passed to the end users,  if the current rules are applied to the long maturity transactions without some additional consideration of the strong credit quality of pension schemes. While</w:t>
      </w:r>
      <w:r w:rsidRPr="00B1548E">
        <w:t xml:space="preserve"> </w:t>
      </w:r>
      <w:r>
        <w:t>w</w:t>
      </w:r>
      <w:r w:rsidRPr="00B1548E">
        <w:t>e are in broadly in favour of CCPs and client</w:t>
      </w:r>
      <w:r>
        <w:t xml:space="preserve"> clearing regulations in that they reduce</w:t>
      </w:r>
      <w:r w:rsidRPr="00B1548E">
        <w:t xml:space="preserve"> systemic risk</w:t>
      </w:r>
      <w:r>
        <w:t>s within the inter-bank market, we retain significant concerns about how the exemption for pensions schemes will work and what will happen at the end of this grace period.</w:t>
      </w:r>
    </w:p>
    <w:p w:rsidR="00726AC9" w:rsidRPr="00B1548E" w:rsidRDefault="00726AC9" w:rsidP="00191B45"/>
    <w:p w:rsidR="00191B45" w:rsidRDefault="00191B45" w:rsidP="00191B45">
      <w:r>
        <w:t>Our concerns are twofold:- the potential increase in costs arising from transacting outside of clearing; the restrictions around eligible collateral for initial and variation margin.</w:t>
      </w:r>
    </w:p>
    <w:p w:rsidR="00726AC9" w:rsidRDefault="00726AC9" w:rsidP="00191B45"/>
    <w:p w:rsidR="00191B45" w:rsidRPr="00D20402" w:rsidRDefault="00191B45" w:rsidP="00191B45">
      <w:r>
        <w:t>In terms of the i</w:t>
      </w:r>
      <w:r w:rsidRPr="00D20402">
        <w:t>ncrease in costs:</w:t>
      </w:r>
    </w:p>
    <w:p w:rsidR="00191B45" w:rsidRPr="00726AC9" w:rsidRDefault="00191B45" w:rsidP="00191B45">
      <w:pPr>
        <w:pStyle w:val="ListParagraph"/>
        <w:numPr>
          <w:ilvl w:val="0"/>
          <w:numId w:val="2"/>
        </w:numPr>
        <w:rPr>
          <w:rFonts w:ascii="Times New Roman" w:hAnsi="Times New Roman" w:cs="Times New Roman"/>
          <w:sz w:val="24"/>
          <w:szCs w:val="24"/>
        </w:rPr>
      </w:pPr>
      <w:r w:rsidRPr="00726AC9">
        <w:rPr>
          <w:rFonts w:ascii="Times New Roman" w:hAnsi="Times New Roman" w:cs="Times New Roman"/>
          <w:sz w:val="24"/>
          <w:szCs w:val="24"/>
        </w:rPr>
        <w:t>We are concerned that non-cleared transactions (i.e. ineligible instruments) or transactions with exempted entities (i.e. pension funds) will be priced more expensively, as a consequence of Investment Banks passing through any increased capital charges they suffer for non cleared trades.</w:t>
      </w:r>
    </w:p>
    <w:p w:rsidR="00191B45" w:rsidRPr="00726AC9" w:rsidRDefault="00191B45" w:rsidP="00191B45">
      <w:pPr>
        <w:pStyle w:val="ListParagraph"/>
        <w:numPr>
          <w:ilvl w:val="0"/>
          <w:numId w:val="2"/>
        </w:numPr>
        <w:rPr>
          <w:rFonts w:ascii="Times New Roman" w:hAnsi="Times New Roman" w:cs="Times New Roman"/>
          <w:sz w:val="24"/>
          <w:szCs w:val="24"/>
        </w:rPr>
      </w:pPr>
      <w:r w:rsidRPr="00726AC9">
        <w:rPr>
          <w:rFonts w:ascii="Times New Roman" w:hAnsi="Times New Roman" w:cs="Times New Roman"/>
          <w:sz w:val="24"/>
          <w:szCs w:val="24"/>
        </w:rPr>
        <w:t>Overall under the proposed arrangements it could be that pension funds as ultimate end users are penalised for mitigating risk.</w:t>
      </w:r>
    </w:p>
    <w:p w:rsidR="00191B45" w:rsidRPr="00726AC9" w:rsidRDefault="00191B45" w:rsidP="00191B45">
      <w:pPr>
        <w:pStyle w:val="ListParagraph"/>
        <w:numPr>
          <w:ilvl w:val="0"/>
          <w:numId w:val="2"/>
        </w:numPr>
        <w:rPr>
          <w:rFonts w:ascii="Times New Roman" w:hAnsi="Times New Roman" w:cs="Times New Roman"/>
          <w:sz w:val="24"/>
          <w:szCs w:val="24"/>
        </w:rPr>
      </w:pPr>
      <w:r w:rsidRPr="00726AC9">
        <w:rPr>
          <w:rFonts w:ascii="Times New Roman" w:hAnsi="Times New Roman" w:cs="Times New Roman"/>
          <w:sz w:val="24"/>
          <w:szCs w:val="24"/>
        </w:rPr>
        <w:t>CCPs are generally not set up for all ‘standard’ OTCs including inflation swaps (and in the future longevity swaps) causing bifurcation and reduced netting benefits if we are required to trade Interest rate swaps “cleared” and Inflation swaps bilaterally / “</w:t>
      </w:r>
      <w:proofErr w:type="spellStart"/>
      <w:r w:rsidRPr="00726AC9">
        <w:rPr>
          <w:rFonts w:ascii="Times New Roman" w:hAnsi="Times New Roman" w:cs="Times New Roman"/>
          <w:sz w:val="24"/>
          <w:szCs w:val="24"/>
        </w:rPr>
        <w:t>uncleared</w:t>
      </w:r>
      <w:proofErr w:type="spellEnd"/>
      <w:r w:rsidRPr="00726AC9">
        <w:rPr>
          <w:rFonts w:ascii="Times New Roman" w:hAnsi="Times New Roman" w:cs="Times New Roman"/>
          <w:sz w:val="24"/>
          <w:szCs w:val="24"/>
        </w:rPr>
        <w:t>”.</w:t>
      </w:r>
    </w:p>
    <w:p w:rsidR="00191B45" w:rsidRPr="00726AC9" w:rsidRDefault="00191B45" w:rsidP="00191B45">
      <w:r w:rsidRPr="00726AC9">
        <w:t xml:space="preserve">With regards to eligible collateral: </w:t>
      </w:r>
    </w:p>
    <w:p w:rsidR="00191B45" w:rsidRPr="00726AC9" w:rsidRDefault="00191B45" w:rsidP="00191B45">
      <w:pPr>
        <w:pStyle w:val="ListParagraph"/>
        <w:numPr>
          <w:ilvl w:val="0"/>
          <w:numId w:val="3"/>
        </w:numPr>
        <w:spacing w:after="0"/>
        <w:rPr>
          <w:rFonts w:ascii="Times New Roman" w:hAnsi="Times New Roman" w:cs="Times New Roman"/>
          <w:sz w:val="24"/>
          <w:szCs w:val="24"/>
        </w:rPr>
      </w:pPr>
      <w:r w:rsidRPr="00726AC9">
        <w:rPr>
          <w:rFonts w:ascii="Times New Roman" w:hAnsi="Times New Roman" w:cs="Times New Roman"/>
          <w:sz w:val="24"/>
          <w:szCs w:val="24"/>
        </w:rPr>
        <w:t>We are used to mark-to-market collateralisation and have experience of bi-lateral initial margin arrangements and accept that there is a quid pro quo for minimisation of credit risk through collateralisation (i.e. a cost of carry of the collateral)</w:t>
      </w:r>
    </w:p>
    <w:p w:rsidR="00191B45" w:rsidRPr="00726AC9" w:rsidRDefault="00191B45" w:rsidP="00191B45">
      <w:pPr>
        <w:pStyle w:val="ListParagraph"/>
        <w:numPr>
          <w:ilvl w:val="0"/>
          <w:numId w:val="3"/>
        </w:numPr>
        <w:spacing w:after="0"/>
        <w:rPr>
          <w:rFonts w:ascii="Times New Roman" w:hAnsi="Times New Roman" w:cs="Times New Roman"/>
          <w:color w:val="1F497D"/>
          <w:sz w:val="24"/>
          <w:szCs w:val="24"/>
        </w:rPr>
      </w:pPr>
      <w:r w:rsidRPr="00726AC9">
        <w:rPr>
          <w:rFonts w:ascii="Times New Roman" w:hAnsi="Times New Roman" w:cs="Times New Roman"/>
          <w:sz w:val="24"/>
          <w:szCs w:val="24"/>
        </w:rPr>
        <w:t xml:space="preserve">Our concerns would be increased if collateralisation was restricted to too short a list of eligible securities or that repo transactions to generate acceptable cash collateral were disproportionally expensive.  To avoid significant investment return drag we require the CCP’s to accept UK index linked gilts as collateral for initial and variation margin. The liquidity risk must be dealt with by the CPP rather than passed back to pension schemes. </w:t>
      </w:r>
      <w:r w:rsidRPr="00726AC9">
        <w:rPr>
          <w:rFonts w:ascii="Times New Roman" w:hAnsi="Times New Roman" w:cs="Times New Roman"/>
          <w:sz w:val="24"/>
          <w:szCs w:val="24"/>
        </w:rPr>
        <w:t>If there is too narrow a class of eligible securities there will be a potential skewing effect for portfolios and a further crowding of the market into already overpriced assets.</w:t>
      </w:r>
    </w:p>
    <w:p w:rsidR="00191B45" w:rsidRPr="00726AC9" w:rsidRDefault="00191B45" w:rsidP="00191B45">
      <w:pPr>
        <w:pStyle w:val="ListParagraph"/>
        <w:numPr>
          <w:ilvl w:val="0"/>
          <w:numId w:val="3"/>
        </w:numPr>
        <w:spacing w:after="0"/>
        <w:rPr>
          <w:rFonts w:ascii="Times New Roman" w:hAnsi="Times New Roman" w:cs="Times New Roman"/>
          <w:color w:val="1F497D"/>
          <w:sz w:val="24"/>
          <w:szCs w:val="24"/>
        </w:rPr>
      </w:pPr>
      <w:r w:rsidRPr="00726AC9">
        <w:rPr>
          <w:rFonts w:ascii="Times New Roman" w:hAnsi="Times New Roman" w:cs="Times New Roman"/>
          <w:sz w:val="24"/>
          <w:szCs w:val="24"/>
        </w:rPr>
        <w:t>Due to our long term liabilities we need to utilise long term instruments which will have potentially larger initial margin requirements. We propose considerations of the long term investment term and the strong underlying credit quality of pension schemes when calculating these margin amounts.</w:t>
      </w:r>
    </w:p>
    <w:p w:rsidR="00191B45" w:rsidRPr="00726AC9" w:rsidRDefault="00191B45" w:rsidP="00191B45">
      <w:pPr>
        <w:pStyle w:val="ListParagraph"/>
        <w:numPr>
          <w:ilvl w:val="0"/>
          <w:numId w:val="3"/>
        </w:numPr>
        <w:spacing w:after="0"/>
        <w:rPr>
          <w:rFonts w:ascii="Times New Roman" w:hAnsi="Times New Roman" w:cs="Times New Roman"/>
          <w:color w:val="1F497D"/>
          <w:sz w:val="24"/>
          <w:szCs w:val="24"/>
        </w:rPr>
      </w:pPr>
      <w:r w:rsidRPr="00726AC9">
        <w:rPr>
          <w:rFonts w:ascii="Times New Roman" w:hAnsi="Times New Roman" w:cs="Times New Roman"/>
          <w:sz w:val="24"/>
          <w:szCs w:val="24"/>
        </w:rPr>
        <w:lastRenderedPageBreak/>
        <w:t xml:space="preserve">As pension schemes generally have a directional bias in their portfolios (and </w:t>
      </w:r>
      <w:r w:rsidRPr="00726AC9">
        <w:rPr>
          <w:rFonts w:ascii="Times New Roman" w:hAnsi="Times New Roman" w:cs="Times New Roman"/>
          <w:sz w:val="24"/>
          <w:szCs w:val="24"/>
        </w:rPr>
        <w:t>this is the very nature of our need for hedging as a risk management tool</w:t>
      </w:r>
      <w:r w:rsidRPr="00726AC9">
        <w:rPr>
          <w:rFonts w:ascii="Times New Roman" w:hAnsi="Times New Roman" w:cs="Times New Roman"/>
          <w:sz w:val="24"/>
          <w:szCs w:val="24"/>
        </w:rPr>
        <w:t>) there will be little in the way of netting benefits although eliminating the bifurcation of interest rate and inflation swaps will mitigate this to a limited extent.</w:t>
      </w:r>
    </w:p>
    <w:p w:rsidR="00191B45" w:rsidRDefault="00191B45" w:rsidP="00191B45"/>
    <w:p w:rsidR="00191B45" w:rsidRPr="00B1548E" w:rsidRDefault="00191B45" w:rsidP="00191B45">
      <w:pPr>
        <w:rPr>
          <w:u w:val="single"/>
        </w:rPr>
      </w:pPr>
      <w:r w:rsidRPr="00B1548E">
        <w:rPr>
          <w:u w:val="single"/>
        </w:rPr>
        <w:t>Specific comments on the text.</w:t>
      </w:r>
    </w:p>
    <w:p w:rsidR="00191B45" w:rsidRDefault="00191B45" w:rsidP="00191B45"/>
    <w:p w:rsidR="00191B45" w:rsidRDefault="00191B45" w:rsidP="00191B45">
      <w:r>
        <w:t>19. On indirect clearing  we would agree that there is a need to ensure the individual segregation of assets and that we get our own specific assets back (i.e. Inflation-linked gilts of the same maturity that were posted).</w:t>
      </w:r>
    </w:p>
    <w:p w:rsidR="00191B45" w:rsidRDefault="00191B45" w:rsidP="00191B45"/>
    <w:p w:rsidR="00191B45" w:rsidRDefault="00191B45" w:rsidP="00191B45">
      <w:r>
        <w:t>24. and 32-39 We need to stress the importance for pension schemes that inflation swaps and in the longer term longevity swaps need to be included as asset classes in clearing. The criteria on defining classes of derivatives needs to be sufficiently wide  for inflation swaps in the short term to be included in CCPs. These instruments provide long term risk mitigation tools that are generally long term buy and hold (and hence liquidity may not be such an issue or should be considered in a different way).</w:t>
      </w:r>
    </w:p>
    <w:p w:rsidR="00191B45" w:rsidRPr="00726AC9" w:rsidRDefault="00191B45" w:rsidP="00191B45">
      <w:pPr>
        <w:spacing w:before="240"/>
      </w:pPr>
      <w:r w:rsidRPr="00726AC9">
        <w:t xml:space="preserve">65-67.  The calculation of clearing thresholds per asset classes does not include “inflation derivatives” as a separate asset class. The inclusion of inflation in “commodities and others” could be dangerous as the characteristics and usage of inflation compared to commodity swaps is very different. </w:t>
      </w:r>
    </w:p>
    <w:p w:rsidR="00191B45" w:rsidRPr="00726AC9" w:rsidRDefault="00191B45" w:rsidP="00191B45">
      <w:pPr>
        <w:spacing w:before="240"/>
      </w:pPr>
      <w:r w:rsidRPr="00726AC9">
        <w:t xml:space="preserve">Clearing thresholds may need to consider annual usage rather than buy and hold long term positions that are built up over a numbers of years. To give some idea on data, for example, we would ultimately intend to end up with a inflation derivatives notional amount of c.£40bn to fully match our liabilities but we may only transact c£1-3 </w:t>
      </w:r>
      <w:proofErr w:type="spellStart"/>
      <w:r w:rsidRPr="00726AC9">
        <w:t>bn</w:t>
      </w:r>
      <w:proofErr w:type="spellEnd"/>
      <w:r w:rsidRPr="00726AC9">
        <w:t xml:space="preserve"> a year as we build up this position.</w:t>
      </w:r>
    </w:p>
    <w:p w:rsidR="00191B45" w:rsidRPr="00726AC9" w:rsidRDefault="00191B45" w:rsidP="00191B45"/>
    <w:p w:rsidR="00191B45" w:rsidRPr="00726AC9" w:rsidRDefault="00191B45" w:rsidP="00191B45">
      <w:r w:rsidRPr="00726AC9">
        <w:t>165. The increase in confidence levels to 99.5% (up from 99% in the BCBS and IOSCO consultation paper) leads to a substantial increase in margins to be posted by pension funds, we are not convinced that this will automatically result in improved safety.</w:t>
      </w:r>
    </w:p>
    <w:p w:rsidR="00191B45" w:rsidRPr="00726AC9" w:rsidRDefault="00191B45" w:rsidP="00191B45"/>
    <w:p w:rsidR="00191B45" w:rsidRPr="00726AC9" w:rsidRDefault="00191B45" w:rsidP="00191B45">
      <w:r w:rsidRPr="00726AC9">
        <w:t xml:space="preserve">197. Collateral provision needs to be workable and available in the long term for pension schemes as well as for the CCP – the condition that it needs to be “highly liquid” may cause problems if it means we are unable to use Index linked Gilts. If we assume the scheme is 100% hedged in the future the margin requirements may be as high as 20% (as suggested by the IMA’s analysis) </w:t>
      </w:r>
      <w:r w:rsidRPr="00726AC9">
        <w:rPr>
          <w:rStyle w:val="FootnoteReference"/>
        </w:rPr>
        <w:footnoteReference w:id="1"/>
      </w:r>
      <w:r w:rsidRPr="00726AC9">
        <w:t xml:space="preserve"> then we need to liquidate 20% of the scheme investments to facilitate cash margining and suffer the return drag from only being 80% invested. Index linked gilts have minimum credit and market risk in comparison to other suggested assets such as covered bonds, equities and bank guarantees.</w:t>
      </w:r>
    </w:p>
    <w:p w:rsidR="00191B45" w:rsidRDefault="00191B45" w:rsidP="00191B45"/>
    <w:p w:rsidR="00191B45" w:rsidRPr="00726AC9" w:rsidRDefault="00191B45" w:rsidP="00191B45">
      <w:r w:rsidRPr="00726AC9">
        <w:t>208. We have a strong preference for there being no minimum proportion of cash</w:t>
      </w:r>
    </w:p>
    <w:p w:rsidR="00191B45" w:rsidRPr="00726AC9" w:rsidRDefault="00191B45" w:rsidP="00191B45"/>
    <w:p w:rsidR="00191B45" w:rsidRPr="00726AC9" w:rsidRDefault="00191B45" w:rsidP="00191B45">
      <w:r w:rsidRPr="00726AC9">
        <w:lastRenderedPageBreak/>
        <w:t xml:space="preserve">222. CCPs should be restricted from the reuse or </w:t>
      </w:r>
      <w:proofErr w:type="spellStart"/>
      <w:r w:rsidRPr="00726AC9">
        <w:t>rehypothecation</w:t>
      </w:r>
      <w:proofErr w:type="spellEnd"/>
      <w:r w:rsidRPr="00726AC9">
        <w:t xml:space="preserve"> of non-cash collateral posted with them, such non-cash collateral should be held with the custodian in the name of the posting entity with a security interest provided to the CCP. We are concerned that reuse or </w:t>
      </w:r>
      <w:proofErr w:type="spellStart"/>
      <w:r w:rsidRPr="00726AC9">
        <w:t>rehypothecation</w:t>
      </w:r>
      <w:proofErr w:type="spellEnd"/>
      <w:r w:rsidRPr="00726AC9">
        <w:t xml:space="preserve"> could increase systemic risk.</w:t>
      </w:r>
    </w:p>
    <w:p w:rsidR="00191B45" w:rsidRDefault="00191B45" w:rsidP="00191B45">
      <w:r>
        <w:t xml:space="preserve"> </w:t>
      </w:r>
    </w:p>
    <w:p w:rsidR="00191B45" w:rsidRPr="00394469" w:rsidRDefault="00191B45" w:rsidP="00394469">
      <w:pPr>
        <w:ind w:left="7371"/>
        <w:rPr>
          <w:rFonts w:ascii="Arial" w:hAnsi="Arial" w:cs="Arial"/>
          <w:sz w:val="20"/>
          <w:szCs w:val="20"/>
          <w:lang w:val="en-US"/>
        </w:rPr>
      </w:pPr>
    </w:p>
    <w:sectPr w:rsidR="00191B45" w:rsidRPr="00394469" w:rsidSect="00057AA3">
      <w:headerReference w:type="default" r:id="rId7"/>
      <w:footerReference w:type="default" r:id="rId8"/>
      <w:pgSz w:w="11909" w:h="16834" w:code="9"/>
      <w:pgMar w:top="1440" w:right="1440"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9F3" w:rsidRDefault="007979F3">
      <w:r>
        <w:separator/>
      </w:r>
    </w:p>
  </w:endnote>
  <w:endnote w:type="continuationSeparator" w:id="0">
    <w:p w:rsidR="007979F3" w:rsidRDefault="00797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D1" w:rsidRDefault="00F53FD1">
    <w:pPr>
      <w:pStyle w:val="Footer"/>
      <w:jc w:val="center"/>
      <w:rPr>
        <w:rFonts w:ascii="Arial" w:hAnsi="Arial" w:cs="Arial"/>
        <w:sz w:val="16"/>
        <w:szCs w:val="16"/>
      </w:rPr>
    </w:pPr>
    <w:r>
      <w:rPr>
        <w:rFonts w:ascii="Arial" w:hAnsi="Arial" w:cs="Arial"/>
        <w:sz w:val="16"/>
        <w:szCs w:val="16"/>
      </w:rPr>
      <w:t xml:space="preserve">Registered office: Lloyds Chambers, </w:t>
    </w:r>
    <w:smartTag w:uri="urn:schemas-microsoft-com:office:smarttags" w:element="address">
      <w:smartTag w:uri="urn:schemas-microsoft-com:office:smarttags" w:element="Street">
        <w:r>
          <w:rPr>
            <w:rFonts w:ascii="Arial" w:hAnsi="Arial" w:cs="Arial"/>
            <w:sz w:val="16"/>
            <w:szCs w:val="16"/>
          </w:rPr>
          <w:t xml:space="preserve">1 </w:t>
        </w:r>
        <w:proofErr w:type="spellStart"/>
        <w:r>
          <w:rPr>
            <w:rFonts w:ascii="Arial" w:hAnsi="Arial" w:cs="Arial"/>
            <w:sz w:val="16"/>
            <w:szCs w:val="16"/>
          </w:rPr>
          <w:t>Portsoken</w:t>
        </w:r>
        <w:proofErr w:type="spellEnd"/>
        <w:r>
          <w:rPr>
            <w:rFonts w:ascii="Arial" w:hAnsi="Arial" w:cs="Arial"/>
            <w:sz w:val="16"/>
            <w:szCs w:val="16"/>
          </w:rPr>
          <w:t xml:space="preserve"> St</w:t>
        </w:r>
      </w:smartTag>
      <w:r>
        <w:rPr>
          <w:rFonts w:ascii="Arial" w:hAnsi="Arial" w:cs="Arial"/>
          <w:sz w:val="16"/>
          <w:szCs w:val="16"/>
        </w:rPr>
        <w:t xml:space="preserve">, </w:t>
      </w:r>
      <w:smartTag w:uri="urn:schemas-microsoft-com:office:smarttags" w:element="City">
        <w:r>
          <w:rPr>
            <w:rFonts w:ascii="Arial" w:hAnsi="Arial" w:cs="Arial"/>
            <w:sz w:val="16"/>
            <w:szCs w:val="16"/>
          </w:rPr>
          <w:t>London</w:t>
        </w:r>
      </w:smartTag>
    </w:smartTag>
    <w:r>
      <w:rPr>
        <w:rFonts w:ascii="Arial" w:hAnsi="Arial" w:cs="Arial"/>
        <w:sz w:val="16"/>
        <w:szCs w:val="16"/>
      </w:rPr>
      <w:t xml:space="preserve"> E1 8HZ.  Registered in </w:t>
    </w:r>
    <w:smartTag w:uri="urn:schemas-microsoft-com:office:smarttags" w:element="country-region">
      <w:r>
        <w:rPr>
          <w:rFonts w:ascii="Arial" w:hAnsi="Arial" w:cs="Arial"/>
          <w:sz w:val="16"/>
          <w:szCs w:val="16"/>
        </w:rPr>
        <w:t>England</w:t>
      </w:r>
    </w:smartTag>
    <w:r>
      <w:rPr>
        <w:rFonts w:ascii="Arial" w:hAnsi="Arial" w:cs="Arial"/>
        <w:sz w:val="16"/>
        <w:szCs w:val="16"/>
      </w:rPr>
      <w:t xml:space="preserve"> and </w:t>
    </w:r>
    <w:smartTag w:uri="urn:schemas-microsoft-com:office:smarttags" w:element="country-region">
      <w:smartTag w:uri="urn:schemas-microsoft-com:office:smarttags" w:element="place">
        <w:r>
          <w:rPr>
            <w:rFonts w:ascii="Arial" w:hAnsi="Arial" w:cs="Arial"/>
            <w:sz w:val="16"/>
            <w:szCs w:val="16"/>
          </w:rPr>
          <w:t>Wales</w:t>
        </w:r>
      </w:smartTag>
    </w:smartTag>
    <w:r>
      <w:rPr>
        <w:rFonts w:ascii="Arial" w:hAnsi="Arial" w:cs="Arial"/>
        <w:sz w:val="16"/>
        <w:szCs w:val="16"/>
      </w:rPr>
      <w:t xml:space="preserve">. </w:t>
    </w:r>
  </w:p>
  <w:p w:rsidR="002C3255" w:rsidRPr="00F53FD1" w:rsidRDefault="00F53FD1">
    <w:pPr>
      <w:pStyle w:val="Footer"/>
      <w:jc w:val="center"/>
      <w:rPr>
        <w:rFonts w:ascii="Arial" w:hAnsi="Arial" w:cs="Arial"/>
        <w:sz w:val="16"/>
        <w:szCs w:val="16"/>
      </w:rPr>
    </w:pPr>
    <w:r>
      <w:rPr>
        <w:rFonts w:ascii="Arial" w:hAnsi="Arial" w:cs="Arial"/>
        <w:sz w:val="16"/>
        <w:szCs w:val="16"/>
      </w:rPr>
      <w:t>Registration No. 5154287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9F3" w:rsidRDefault="007979F3">
      <w:r>
        <w:separator/>
      </w:r>
    </w:p>
  </w:footnote>
  <w:footnote w:type="continuationSeparator" w:id="0">
    <w:p w:rsidR="007979F3" w:rsidRDefault="007979F3">
      <w:r>
        <w:continuationSeparator/>
      </w:r>
    </w:p>
  </w:footnote>
  <w:footnote w:id="1">
    <w:p w:rsidR="00191B45" w:rsidRPr="00726AC9" w:rsidRDefault="00191B45" w:rsidP="00191B45">
      <w:pPr>
        <w:pStyle w:val="FootnoteText"/>
        <w:rPr>
          <w:sz w:val="18"/>
          <w:szCs w:val="18"/>
        </w:rPr>
      </w:pPr>
      <w:r w:rsidRPr="00726AC9">
        <w:rPr>
          <w:rStyle w:val="FootnoteReference"/>
          <w:sz w:val="18"/>
          <w:szCs w:val="18"/>
        </w:rPr>
        <w:footnoteRef/>
      </w:r>
      <w:r w:rsidRPr="00726AC9">
        <w:rPr>
          <w:sz w:val="18"/>
          <w:szCs w:val="18"/>
        </w:rPr>
        <w:t xml:space="preserve"> http://www.investmentfunds.org.uk/assets/files/consultations/2010/20100709-eucponderivatives.pdf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64" w:type="dxa"/>
      <w:tblLayout w:type="fixed"/>
      <w:tblLook w:val="0000"/>
    </w:tblPr>
    <w:tblGrid>
      <w:gridCol w:w="2564"/>
      <w:gridCol w:w="7000"/>
    </w:tblGrid>
    <w:tr w:rsidR="002C3255">
      <w:trPr>
        <w:trHeight w:val="1837"/>
      </w:trPr>
      <w:tc>
        <w:tcPr>
          <w:tcW w:w="2564" w:type="dxa"/>
        </w:tcPr>
        <w:p w:rsidR="002C3255" w:rsidRDefault="001F0F96" w:rsidP="000C64D0">
          <w:pPr>
            <w:pStyle w:val="Header"/>
            <w:jc w:val="center"/>
            <w:rPr>
              <w:sz w:val="90"/>
            </w:rPr>
          </w:pPr>
          <w:r>
            <w:rPr>
              <w:rFonts w:ascii="Arial" w:hAnsi="Arial" w:cs="Arial"/>
              <w:noProof/>
              <w:color w:val="333333"/>
              <w:sz w:val="16"/>
              <w:szCs w:val="16"/>
            </w:rPr>
            <w:drawing>
              <wp:inline distT="0" distB="0" distL="0" distR="0">
                <wp:extent cx="1485900" cy="1076325"/>
                <wp:effectExtent l="19050" t="0" r="0" b="0"/>
                <wp:docPr id="1" name="Picture 1" descr="BTPS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PS Logo - New"/>
                        <pic:cNvPicPr>
                          <a:picLocks noChangeAspect="1" noChangeArrowheads="1"/>
                        </pic:cNvPicPr>
                      </pic:nvPicPr>
                      <pic:blipFill>
                        <a:blip r:embed="rId1"/>
                        <a:srcRect/>
                        <a:stretch>
                          <a:fillRect/>
                        </a:stretch>
                      </pic:blipFill>
                      <pic:spPr bwMode="auto">
                        <a:xfrm>
                          <a:off x="0" y="0"/>
                          <a:ext cx="1485900" cy="1076325"/>
                        </a:xfrm>
                        <a:prstGeom prst="rect">
                          <a:avLst/>
                        </a:prstGeom>
                        <a:noFill/>
                        <a:ln w="9525">
                          <a:noFill/>
                          <a:miter lim="800000"/>
                          <a:headEnd/>
                          <a:tailEnd/>
                        </a:ln>
                      </pic:spPr>
                    </pic:pic>
                  </a:graphicData>
                </a:graphic>
              </wp:inline>
            </w:drawing>
          </w:r>
        </w:p>
      </w:tc>
      <w:tc>
        <w:tcPr>
          <w:tcW w:w="7000" w:type="dxa"/>
        </w:tcPr>
        <w:p w:rsidR="002C3255" w:rsidRPr="000C64D0" w:rsidRDefault="002C3255">
          <w:pPr>
            <w:pStyle w:val="Header"/>
            <w:rPr>
              <w:rFonts w:ascii="Verdana" w:hAnsi="Verdana"/>
              <w:sz w:val="16"/>
              <w:szCs w:val="16"/>
            </w:rPr>
          </w:pPr>
        </w:p>
        <w:p w:rsidR="00F53FD1" w:rsidRDefault="00F53FD1" w:rsidP="00F53FD1">
          <w:pPr>
            <w:pStyle w:val="Header"/>
            <w:tabs>
              <w:tab w:val="left" w:pos="2862"/>
            </w:tabs>
            <w:ind w:left="4756"/>
            <w:rPr>
              <w:rFonts w:ascii="Verdana" w:hAnsi="Verdana"/>
              <w:sz w:val="16"/>
              <w:szCs w:val="16"/>
            </w:rPr>
          </w:pPr>
          <w:r>
            <w:rPr>
              <w:rFonts w:ascii="Verdana" w:hAnsi="Verdana"/>
              <w:sz w:val="16"/>
              <w:szCs w:val="16"/>
            </w:rPr>
            <w:t xml:space="preserve">BT Pension Scheme </w:t>
          </w:r>
        </w:p>
        <w:p w:rsidR="000C64D0" w:rsidRPr="000C64D0" w:rsidRDefault="00F53FD1" w:rsidP="00F53FD1">
          <w:pPr>
            <w:pStyle w:val="Header"/>
            <w:tabs>
              <w:tab w:val="left" w:pos="2862"/>
            </w:tabs>
            <w:ind w:left="4756"/>
            <w:rPr>
              <w:rFonts w:ascii="Verdana" w:hAnsi="Verdana"/>
              <w:sz w:val="16"/>
              <w:szCs w:val="16"/>
            </w:rPr>
          </w:pPr>
          <w:r>
            <w:rPr>
              <w:rFonts w:ascii="Verdana" w:hAnsi="Verdana"/>
              <w:sz w:val="16"/>
              <w:szCs w:val="16"/>
            </w:rPr>
            <w:t>Management Limited</w:t>
          </w:r>
        </w:p>
        <w:p w:rsidR="00F53FD1" w:rsidRDefault="002C3255" w:rsidP="00F53FD1">
          <w:pPr>
            <w:pStyle w:val="Header"/>
            <w:ind w:left="4756"/>
            <w:rPr>
              <w:rFonts w:ascii="Verdana" w:hAnsi="Verdana"/>
              <w:sz w:val="16"/>
              <w:szCs w:val="16"/>
            </w:rPr>
          </w:pPr>
          <w:r w:rsidRPr="000C64D0">
            <w:rPr>
              <w:rFonts w:ascii="Verdana" w:hAnsi="Verdana"/>
              <w:sz w:val="16"/>
              <w:szCs w:val="16"/>
            </w:rPr>
            <w:t xml:space="preserve">Lloyds Chambers  </w:t>
          </w:r>
        </w:p>
        <w:p w:rsidR="000C64D0" w:rsidRPr="000C64D0" w:rsidRDefault="002C3255" w:rsidP="00F53FD1">
          <w:pPr>
            <w:pStyle w:val="Header"/>
            <w:ind w:left="4756"/>
            <w:rPr>
              <w:rFonts w:ascii="Verdana" w:hAnsi="Verdana"/>
              <w:sz w:val="16"/>
              <w:szCs w:val="16"/>
            </w:rPr>
          </w:pPr>
          <w:smartTag w:uri="urn:schemas-microsoft-com:office:smarttags" w:element="Street">
            <w:smartTag w:uri="urn:schemas-microsoft-com:office:smarttags" w:element="address">
              <w:r w:rsidRPr="000C64D0">
                <w:rPr>
                  <w:rFonts w:ascii="Verdana" w:hAnsi="Verdana"/>
                  <w:sz w:val="16"/>
                  <w:szCs w:val="16"/>
                </w:rPr>
                <w:t xml:space="preserve">1 </w:t>
              </w:r>
              <w:proofErr w:type="spellStart"/>
              <w:r w:rsidRPr="000C64D0">
                <w:rPr>
                  <w:rFonts w:ascii="Verdana" w:hAnsi="Verdana"/>
                  <w:sz w:val="16"/>
                  <w:szCs w:val="16"/>
                </w:rPr>
                <w:t>Portsoken</w:t>
              </w:r>
              <w:proofErr w:type="spellEnd"/>
              <w:r w:rsidRPr="000C64D0">
                <w:rPr>
                  <w:rFonts w:ascii="Verdana" w:hAnsi="Verdana"/>
                  <w:sz w:val="16"/>
                  <w:szCs w:val="16"/>
                </w:rPr>
                <w:t xml:space="preserve"> Street</w:t>
              </w:r>
            </w:smartTag>
          </w:smartTag>
          <w:r w:rsidRPr="000C64D0">
            <w:rPr>
              <w:rFonts w:ascii="Verdana" w:hAnsi="Verdana"/>
              <w:sz w:val="16"/>
              <w:szCs w:val="16"/>
            </w:rPr>
            <w:t xml:space="preserve">  </w:t>
          </w:r>
        </w:p>
        <w:p w:rsidR="002C3255" w:rsidRPr="000C64D0" w:rsidRDefault="002C3255" w:rsidP="00F53FD1">
          <w:pPr>
            <w:pStyle w:val="Header"/>
            <w:ind w:left="4756"/>
            <w:rPr>
              <w:rFonts w:ascii="Verdana" w:hAnsi="Verdana"/>
              <w:sz w:val="16"/>
              <w:szCs w:val="16"/>
            </w:rPr>
          </w:pPr>
          <w:smartTag w:uri="urn:schemas-microsoft-com:office:smarttags" w:element="place">
            <w:smartTag w:uri="urn:schemas-microsoft-com:office:smarttags" w:element="City">
              <w:r w:rsidRPr="000C64D0">
                <w:rPr>
                  <w:rFonts w:ascii="Verdana" w:hAnsi="Verdana"/>
                  <w:sz w:val="16"/>
                  <w:szCs w:val="16"/>
                </w:rPr>
                <w:t>London</w:t>
              </w:r>
            </w:smartTag>
          </w:smartTag>
          <w:r w:rsidRPr="000C64D0">
            <w:rPr>
              <w:rFonts w:ascii="Verdana" w:hAnsi="Verdana"/>
              <w:sz w:val="16"/>
              <w:szCs w:val="16"/>
            </w:rPr>
            <w:t xml:space="preserve">  E1 8HZ</w:t>
          </w:r>
        </w:p>
        <w:p w:rsidR="000C64D0" w:rsidRPr="000C64D0" w:rsidRDefault="000C64D0" w:rsidP="00F53FD1">
          <w:pPr>
            <w:pStyle w:val="Header"/>
            <w:ind w:left="4756"/>
            <w:rPr>
              <w:rFonts w:ascii="Verdana" w:hAnsi="Verdana"/>
              <w:sz w:val="16"/>
              <w:szCs w:val="16"/>
            </w:rPr>
          </w:pPr>
        </w:p>
        <w:p w:rsidR="000C64D0" w:rsidRPr="00FE70B3" w:rsidRDefault="00F53FD1" w:rsidP="00FE70B3">
          <w:pPr>
            <w:pStyle w:val="Header"/>
            <w:ind w:left="4756"/>
            <w:rPr>
              <w:rFonts w:ascii="Verdana" w:hAnsi="Verdana"/>
              <w:sz w:val="16"/>
              <w:szCs w:val="16"/>
            </w:rPr>
          </w:pPr>
          <w:r>
            <w:rPr>
              <w:rFonts w:ascii="Verdana" w:hAnsi="Verdana"/>
              <w:sz w:val="16"/>
              <w:szCs w:val="16"/>
            </w:rPr>
            <w:t xml:space="preserve">Tel (020) 7680 8080 </w:t>
          </w:r>
        </w:p>
      </w:tc>
    </w:tr>
  </w:tbl>
  <w:p w:rsidR="002C3255" w:rsidRDefault="002C3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C6A"/>
    <w:multiLevelType w:val="hybridMultilevel"/>
    <w:tmpl w:val="99F0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AE4E2F"/>
    <w:multiLevelType w:val="hybridMultilevel"/>
    <w:tmpl w:val="3F2C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957DE3"/>
    <w:multiLevelType w:val="hybridMultilevel"/>
    <w:tmpl w:val="06B0D786"/>
    <w:lvl w:ilvl="0" w:tplc="67EAE4AA">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A0FF1"/>
    <w:rsid w:val="00007FCA"/>
    <w:rsid w:val="00044923"/>
    <w:rsid w:val="00056A14"/>
    <w:rsid w:val="00057AA3"/>
    <w:rsid w:val="000926D4"/>
    <w:rsid w:val="000C64D0"/>
    <w:rsid w:val="000E4D47"/>
    <w:rsid w:val="000F7742"/>
    <w:rsid w:val="0018752A"/>
    <w:rsid w:val="00191B45"/>
    <w:rsid w:val="00192AA4"/>
    <w:rsid w:val="001E0A0C"/>
    <w:rsid w:val="001F0F96"/>
    <w:rsid w:val="00204AF5"/>
    <w:rsid w:val="00266C26"/>
    <w:rsid w:val="002C3255"/>
    <w:rsid w:val="002E0E02"/>
    <w:rsid w:val="003067F2"/>
    <w:rsid w:val="00394469"/>
    <w:rsid w:val="003C2DE4"/>
    <w:rsid w:val="003C31CC"/>
    <w:rsid w:val="00424DC1"/>
    <w:rsid w:val="004B7A60"/>
    <w:rsid w:val="005225C7"/>
    <w:rsid w:val="00554164"/>
    <w:rsid w:val="00581D8F"/>
    <w:rsid w:val="005D36FD"/>
    <w:rsid w:val="005E1269"/>
    <w:rsid w:val="00714E4B"/>
    <w:rsid w:val="00726AC9"/>
    <w:rsid w:val="00734E7A"/>
    <w:rsid w:val="00741E66"/>
    <w:rsid w:val="007642CF"/>
    <w:rsid w:val="007979F3"/>
    <w:rsid w:val="007B44E5"/>
    <w:rsid w:val="007D4981"/>
    <w:rsid w:val="00833F34"/>
    <w:rsid w:val="00863CAE"/>
    <w:rsid w:val="00890C16"/>
    <w:rsid w:val="008A0FF1"/>
    <w:rsid w:val="009530FB"/>
    <w:rsid w:val="009A76C8"/>
    <w:rsid w:val="009D2459"/>
    <w:rsid w:val="00AB2049"/>
    <w:rsid w:val="00AB5462"/>
    <w:rsid w:val="00AC3486"/>
    <w:rsid w:val="00B23C87"/>
    <w:rsid w:val="00B57670"/>
    <w:rsid w:val="00B8717E"/>
    <w:rsid w:val="00BC444A"/>
    <w:rsid w:val="00C0054C"/>
    <w:rsid w:val="00CF01D0"/>
    <w:rsid w:val="00CF5AE6"/>
    <w:rsid w:val="00D05BFF"/>
    <w:rsid w:val="00D87987"/>
    <w:rsid w:val="00E13741"/>
    <w:rsid w:val="00E43DF9"/>
    <w:rsid w:val="00E465BE"/>
    <w:rsid w:val="00E466C7"/>
    <w:rsid w:val="00E66B7C"/>
    <w:rsid w:val="00E70C34"/>
    <w:rsid w:val="00F5230C"/>
    <w:rsid w:val="00F53FD1"/>
    <w:rsid w:val="00FE70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255"/>
    <w:rPr>
      <w:sz w:val="24"/>
      <w:szCs w:val="24"/>
    </w:rPr>
  </w:style>
  <w:style w:type="paragraph" w:styleId="Heading1">
    <w:name w:val="heading 1"/>
    <w:basedOn w:val="Normal"/>
    <w:next w:val="Normal"/>
    <w:qFormat/>
    <w:rsid w:val="00057AA3"/>
    <w:pPr>
      <w:keepNext/>
      <w:outlineLvl w:val="0"/>
    </w:pPr>
    <w:rPr>
      <w:b/>
    </w:rPr>
  </w:style>
  <w:style w:type="paragraph" w:styleId="Heading2">
    <w:name w:val="heading 2"/>
    <w:basedOn w:val="Normal"/>
    <w:next w:val="Normal"/>
    <w:qFormat/>
    <w:rsid w:val="00057AA3"/>
    <w:pPr>
      <w:keepNext/>
      <w:outlineLvl w:val="1"/>
    </w:pPr>
    <w:rPr>
      <w:b/>
      <w:sz w:val="28"/>
    </w:rPr>
  </w:style>
  <w:style w:type="paragraph" w:styleId="Heading3">
    <w:name w:val="heading 3"/>
    <w:basedOn w:val="Normal"/>
    <w:next w:val="Normal"/>
    <w:qFormat/>
    <w:rsid w:val="00057AA3"/>
    <w:pPr>
      <w:keepNext/>
      <w:outlineLvl w:val="2"/>
    </w:pPr>
    <w:rPr>
      <w:b/>
    </w:rPr>
  </w:style>
  <w:style w:type="paragraph" w:styleId="Heading4">
    <w:name w:val="heading 4"/>
    <w:basedOn w:val="Normal"/>
    <w:next w:val="Normal"/>
    <w:qFormat/>
    <w:rsid w:val="00057AA3"/>
    <w:pPr>
      <w:keepNext/>
      <w:jc w:val="right"/>
      <w:outlineLvl w:val="3"/>
    </w:pPr>
    <w:rPr>
      <w:b/>
      <w:snapToGrid w:val="0"/>
      <w:color w:val="000000"/>
      <w:lang w:eastAsia="en-US"/>
    </w:rPr>
  </w:style>
  <w:style w:type="paragraph" w:styleId="Heading6">
    <w:name w:val="heading 6"/>
    <w:basedOn w:val="Normal"/>
    <w:next w:val="Normal"/>
    <w:qFormat/>
    <w:rsid w:val="003C31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57AA3"/>
    <w:pPr>
      <w:pBdr>
        <w:top w:val="single" w:sz="8" w:space="1" w:color="auto"/>
        <w:bottom w:val="single" w:sz="8" w:space="1" w:color="auto"/>
      </w:pBdr>
      <w:jc w:val="both"/>
    </w:pPr>
    <w:rPr>
      <w:i/>
      <w:sz w:val="18"/>
    </w:rPr>
  </w:style>
  <w:style w:type="paragraph" w:styleId="Header">
    <w:name w:val="header"/>
    <w:basedOn w:val="Normal"/>
    <w:rsid w:val="00057AA3"/>
    <w:pPr>
      <w:tabs>
        <w:tab w:val="center" w:pos="4153"/>
        <w:tab w:val="right" w:pos="8306"/>
      </w:tabs>
    </w:pPr>
  </w:style>
  <w:style w:type="paragraph" w:styleId="Footer">
    <w:name w:val="footer"/>
    <w:basedOn w:val="Normal"/>
    <w:rsid w:val="00057AA3"/>
    <w:pPr>
      <w:tabs>
        <w:tab w:val="center" w:pos="4153"/>
        <w:tab w:val="right" w:pos="8306"/>
      </w:tabs>
    </w:pPr>
  </w:style>
  <w:style w:type="paragraph" w:styleId="BodyText2">
    <w:name w:val="Body Text 2"/>
    <w:basedOn w:val="Normal"/>
    <w:rsid w:val="00057AA3"/>
    <w:rPr>
      <w:b/>
      <w:sz w:val="28"/>
    </w:rPr>
  </w:style>
  <w:style w:type="paragraph" w:styleId="BodyText3">
    <w:name w:val="Body Text 3"/>
    <w:basedOn w:val="Normal"/>
    <w:rsid w:val="00057AA3"/>
    <w:pPr>
      <w:tabs>
        <w:tab w:val="left" w:pos="709"/>
        <w:tab w:val="left" w:pos="1134"/>
        <w:tab w:val="left" w:pos="5670"/>
        <w:tab w:val="left" w:pos="6663"/>
        <w:tab w:val="decimal" w:pos="6946"/>
      </w:tabs>
    </w:pPr>
    <w:rPr>
      <w:sz w:val="20"/>
    </w:rPr>
  </w:style>
  <w:style w:type="paragraph" w:styleId="BalloonText">
    <w:name w:val="Balloon Text"/>
    <w:basedOn w:val="Normal"/>
    <w:semiHidden/>
    <w:rsid w:val="003067F2"/>
    <w:rPr>
      <w:rFonts w:ascii="Tahoma" w:hAnsi="Tahoma" w:cs="Tahoma"/>
      <w:sz w:val="16"/>
      <w:szCs w:val="16"/>
    </w:rPr>
  </w:style>
  <w:style w:type="character" w:styleId="Hyperlink">
    <w:name w:val="Hyperlink"/>
    <w:basedOn w:val="DefaultParagraphFont"/>
    <w:rsid w:val="000926D4"/>
    <w:rPr>
      <w:color w:val="0000FF"/>
      <w:u w:val="single"/>
    </w:rPr>
  </w:style>
  <w:style w:type="character" w:styleId="FollowedHyperlink">
    <w:name w:val="FollowedHyperlink"/>
    <w:basedOn w:val="DefaultParagraphFont"/>
    <w:rsid w:val="000E4D47"/>
    <w:rPr>
      <w:color w:val="606420"/>
      <w:u w:val="single"/>
    </w:rPr>
  </w:style>
  <w:style w:type="paragraph" w:styleId="BodyTextIndent">
    <w:name w:val="Body Text Indent"/>
    <w:basedOn w:val="Normal"/>
    <w:rsid w:val="003C31CC"/>
    <w:pPr>
      <w:spacing w:after="120"/>
      <w:ind w:left="283"/>
    </w:pPr>
  </w:style>
  <w:style w:type="paragraph" w:styleId="ListParagraph">
    <w:name w:val="List Paragraph"/>
    <w:basedOn w:val="Normal"/>
    <w:uiPriority w:val="34"/>
    <w:qFormat/>
    <w:rsid w:val="00191B45"/>
    <w:pPr>
      <w:spacing w:after="120"/>
      <w:ind w:left="720"/>
      <w:contextualSpacing/>
    </w:pPr>
    <w:rPr>
      <w:rFonts w:ascii="Arial" w:eastAsiaTheme="minorEastAsia" w:hAnsi="Arial" w:cstheme="minorBidi"/>
      <w:sz w:val="22"/>
      <w:szCs w:val="22"/>
      <w:lang w:eastAsia="en-US" w:bidi="en-US"/>
    </w:rPr>
  </w:style>
  <w:style w:type="paragraph" w:styleId="FootnoteText">
    <w:name w:val="footnote text"/>
    <w:basedOn w:val="Normal"/>
    <w:link w:val="FootnoteTextChar"/>
    <w:rsid w:val="00191B45"/>
    <w:rPr>
      <w:rFonts w:ascii="Arial" w:eastAsiaTheme="minorEastAsia" w:hAnsi="Arial" w:cstheme="minorBidi"/>
      <w:sz w:val="20"/>
      <w:szCs w:val="20"/>
      <w:lang w:eastAsia="en-US" w:bidi="en-US"/>
    </w:rPr>
  </w:style>
  <w:style w:type="character" w:customStyle="1" w:styleId="FootnoteTextChar">
    <w:name w:val="Footnote Text Char"/>
    <w:basedOn w:val="DefaultParagraphFont"/>
    <w:link w:val="FootnoteText"/>
    <w:rsid w:val="00191B45"/>
    <w:rPr>
      <w:rFonts w:ascii="Arial" w:eastAsiaTheme="minorEastAsia" w:hAnsi="Arial" w:cstheme="minorBidi"/>
      <w:lang w:eastAsia="en-US" w:bidi="en-US"/>
    </w:rPr>
  </w:style>
  <w:style w:type="character" w:styleId="FootnoteReference">
    <w:name w:val="footnote reference"/>
    <w:basedOn w:val="DefaultParagraphFont"/>
    <w:rsid w:val="00191B45"/>
    <w:rPr>
      <w:vertAlign w:val="superscript"/>
    </w:rPr>
  </w:style>
</w:styles>
</file>

<file path=word/webSettings.xml><?xml version="1.0" encoding="utf-8"?>
<w:webSettings xmlns:r="http://schemas.openxmlformats.org/officeDocument/2006/relationships" xmlns:w="http://schemas.openxmlformats.org/wordprocessingml/2006/main">
  <w:divs>
    <w:div w:id="20984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BTPS%20Memo%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BTPS Memo Header.dot</Template>
  <TotalTime>9</TotalTime>
  <Pages>4</Pages>
  <Words>1460</Words>
  <Characters>7639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HERMES LENS ASSET MANAGEMENT LIMITED</vt:lpstr>
    </vt:vector>
  </TitlesOfParts>
  <Company>Hermes Pensions Management Ltd</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HERMES LENS ASSET MANAGEMENT LIMITED</dc:title>
  <dc:subject/>
  <dc:creator>fletchc</dc:creator>
  <cp:keywords/>
  <cp:lastModifiedBy>winchhe</cp:lastModifiedBy>
  <cp:revision>7</cp:revision>
  <cp:lastPrinted>2008-10-13T13:08:00Z</cp:lastPrinted>
  <dcterms:created xsi:type="dcterms:W3CDTF">2012-08-03T16:36:00Z</dcterms:created>
  <dcterms:modified xsi:type="dcterms:W3CDTF">2012-08-03T16:44:00Z</dcterms:modified>
</cp:coreProperties>
</file>