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30" w:type="dxa"/>
        <w:tblInd w:w="-1701" w:type="dxa"/>
        <w:tblLayout w:type="fixed"/>
        <w:tblCellMar>
          <w:left w:w="0" w:type="dxa"/>
          <w:right w:w="0" w:type="dxa"/>
        </w:tblCellMar>
        <w:tblLook w:val="0000" w:firstRow="0" w:lastRow="0" w:firstColumn="0" w:lastColumn="0" w:noHBand="0" w:noVBand="0"/>
      </w:tblPr>
      <w:tblGrid>
        <w:gridCol w:w="1701"/>
        <w:gridCol w:w="8729"/>
      </w:tblGrid>
      <w:tr w:rsidR="00345ED8" w:rsidRPr="003A741C" w:rsidTr="00780262">
        <w:trPr>
          <w:trHeight w:hRule="exact" w:val="1680"/>
        </w:trPr>
        <w:tc>
          <w:tcPr>
            <w:tcW w:w="1701" w:type="dxa"/>
          </w:tcPr>
          <w:p w:rsidR="00345ED8" w:rsidRDefault="00345ED8">
            <w:pPr>
              <w:spacing w:line="216" w:lineRule="atLeast"/>
              <w:rPr>
                <w:sz w:val="18"/>
                <w:lang w:val="en-US"/>
              </w:rPr>
            </w:pPr>
          </w:p>
        </w:tc>
        <w:tc>
          <w:tcPr>
            <w:tcW w:w="8729" w:type="dxa"/>
          </w:tcPr>
          <w:p w:rsidR="00780262" w:rsidRPr="00780262" w:rsidRDefault="00780262" w:rsidP="00780262">
            <w:pPr>
              <w:spacing w:line="216" w:lineRule="atLeast"/>
              <w:jc w:val="center"/>
              <w:rPr>
                <w:b/>
                <w:sz w:val="28"/>
                <w:szCs w:val="28"/>
                <w:lang w:val="en-US"/>
              </w:rPr>
            </w:pPr>
            <w:r w:rsidRPr="00780262">
              <w:rPr>
                <w:b/>
                <w:sz w:val="28"/>
                <w:szCs w:val="28"/>
                <w:lang w:val="en-US"/>
              </w:rPr>
              <w:t xml:space="preserve">ANSWER TO </w:t>
            </w:r>
            <w:r>
              <w:rPr>
                <w:b/>
                <w:sz w:val="28"/>
                <w:szCs w:val="28"/>
                <w:lang w:val="en-US"/>
              </w:rPr>
              <w:t>THE</w:t>
            </w:r>
            <w:r w:rsidRPr="00780262">
              <w:rPr>
                <w:b/>
                <w:sz w:val="28"/>
                <w:szCs w:val="28"/>
                <w:lang w:val="en-US"/>
              </w:rPr>
              <w:t xml:space="preserve"> CONSULTATION ON</w:t>
            </w:r>
          </w:p>
          <w:p w:rsidR="00345ED8" w:rsidRPr="00780262" w:rsidRDefault="00780262" w:rsidP="00780262">
            <w:pPr>
              <w:spacing w:line="216" w:lineRule="atLeast"/>
              <w:jc w:val="center"/>
              <w:rPr>
                <w:b/>
                <w:sz w:val="28"/>
                <w:szCs w:val="28"/>
                <w:lang w:val="en-US"/>
              </w:rPr>
            </w:pPr>
            <w:r w:rsidRPr="00780262">
              <w:rPr>
                <w:b/>
                <w:sz w:val="28"/>
                <w:szCs w:val="28"/>
                <w:lang w:val="en-US"/>
              </w:rPr>
              <w:t>ESMA’S DISCUSSION PAPER</w:t>
            </w:r>
          </w:p>
          <w:p w:rsidR="00345ED8" w:rsidRDefault="00780262" w:rsidP="00780262">
            <w:pPr>
              <w:spacing w:line="216" w:lineRule="atLeast"/>
              <w:jc w:val="center"/>
              <w:rPr>
                <w:b/>
                <w:sz w:val="28"/>
                <w:szCs w:val="28"/>
                <w:lang w:val="en-US"/>
              </w:rPr>
            </w:pPr>
            <w:r w:rsidRPr="00780262">
              <w:rPr>
                <w:b/>
                <w:sz w:val="28"/>
                <w:szCs w:val="28"/>
                <w:lang w:val="en-US"/>
              </w:rPr>
              <w:t>ON SHARE CLASSES OF UCITS</w:t>
            </w:r>
            <w:r>
              <w:rPr>
                <w:b/>
                <w:sz w:val="28"/>
                <w:szCs w:val="28"/>
                <w:lang w:val="en-US"/>
              </w:rPr>
              <w:t xml:space="preserve"> </w:t>
            </w:r>
          </w:p>
          <w:p w:rsidR="00780262" w:rsidRDefault="00780262" w:rsidP="00780262">
            <w:pPr>
              <w:spacing w:line="216" w:lineRule="atLeast"/>
              <w:jc w:val="center"/>
              <w:rPr>
                <w:b/>
                <w:sz w:val="28"/>
                <w:szCs w:val="28"/>
                <w:lang w:val="en-US"/>
              </w:rPr>
            </w:pPr>
          </w:p>
          <w:p w:rsidR="00780262" w:rsidRPr="00780262" w:rsidRDefault="00780262" w:rsidP="00780262">
            <w:pPr>
              <w:spacing w:line="216" w:lineRule="atLeast"/>
              <w:jc w:val="center"/>
              <w:rPr>
                <w:sz w:val="24"/>
                <w:szCs w:val="24"/>
                <w:lang w:val="en-US"/>
              </w:rPr>
            </w:pPr>
            <w:r>
              <w:rPr>
                <w:sz w:val="24"/>
                <w:szCs w:val="24"/>
                <w:lang w:val="en-US"/>
              </w:rPr>
              <w:t>(March 27, 2015)</w:t>
            </w:r>
          </w:p>
        </w:tc>
      </w:tr>
      <w:tr w:rsidR="00345ED8" w:rsidRPr="003A741C" w:rsidTr="00A8546D">
        <w:trPr>
          <w:trHeight w:hRule="exact" w:val="200"/>
        </w:trPr>
        <w:tc>
          <w:tcPr>
            <w:tcW w:w="10430" w:type="dxa"/>
            <w:gridSpan w:val="2"/>
          </w:tcPr>
          <w:p w:rsidR="00345ED8" w:rsidRDefault="00345ED8">
            <w:pPr>
              <w:rPr>
                <w:lang w:val="en-US"/>
              </w:rPr>
            </w:pPr>
          </w:p>
        </w:tc>
      </w:tr>
      <w:tr w:rsidR="00345ED8" w:rsidRPr="003A741C" w:rsidTr="00A8546D">
        <w:trPr>
          <w:trHeight w:hRule="exact" w:val="260"/>
        </w:trPr>
        <w:tc>
          <w:tcPr>
            <w:tcW w:w="10430" w:type="dxa"/>
            <w:gridSpan w:val="2"/>
          </w:tcPr>
          <w:p w:rsidR="00345ED8" w:rsidRDefault="00345ED8">
            <w:pPr>
              <w:rPr>
                <w:lang w:val="en-US"/>
              </w:rPr>
            </w:pPr>
          </w:p>
        </w:tc>
      </w:tr>
    </w:tbl>
    <w:p w:rsidR="00A8546D" w:rsidRPr="00A8546D" w:rsidRDefault="00A8546D" w:rsidP="00A8546D">
      <w:pPr>
        <w:rPr>
          <w:rFonts w:eastAsia="PMingLiU" w:cs="Arial"/>
          <w:vanish/>
          <w:color w:val="000000"/>
          <w:sz w:val="24"/>
          <w:szCs w:val="24"/>
          <w:lang w:val="en-US" w:eastAsia="zh-TW"/>
        </w:rPr>
      </w:pPr>
    </w:p>
    <w:tbl>
      <w:tblPr>
        <w:tblW w:w="6237" w:type="dxa"/>
        <w:tblLayout w:type="fixed"/>
        <w:tblCellMar>
          <w:left w:w="0" w:type="dxa"/>
          <w:right w:w="0" w:type="dxa"/>
        </w:tblCellMar>
        <w:tblLook w:val="00A0" w:firstRow="1" w:lastRow="0" w:firstColumn="1" w:lastColumn="0" w:noHBand="0" w:noVBand="0"/>
      </w:tblPr>
      <w:tblGrid>
        <w:gridCol w:w="6237"/>
      </w:tblGrid>
      <w:tr w:rsidR="00345ED8">
        <w:trPr>
          <w:trHeight w:hRule="exact" w:val="1560"/>
        </w:trPr>
        <w:tc>
          <w:tcPr>
            <w:tcW w:w="6237" w:type="dxa"/>
            <w:vAlign w:val="bottom"/>
          </w:tcPr>
          <w:p w:rsidR="00345ED8" w:rsidRPr="00E95A22" w:rsidRDefault="00345ED8" w:rsidP="001C4968">
            <w:pPr>
              <w:pStyle w:val="Adressepieddepage"/>
              <w:framePr w:wrap="notBeside" w:y="13467"/>
              <w:rPr>
                <w:lang w:val="en-US"/>
              </w:rPr>
            </w:pPr>
            <w:r w:rsidRPr="00E95A22">
              <w:fldChar w:fldCharType="begin">
                <w:ffData>
                  <w:name w:val="Texte33"/>
                  <w:enabled/>
                  <w:calcOnExit w:val="0"/>
                  <w:textInput>
                    <w:default w:val="Address: "/>
                  </w:textInput>
                </w:ffData>
              </w:fldChar>
            </w:r>
            <w:bookmarkStart w:id="0" w:name="Texte33"/>
            <w:r w:rsidRPr="00E95A22">
              <w:rPr>
                <w:lang w:val="en-US"/>
              </w:rPr>
              <w:instrText xml:space="preserve"> FORMTEXT </w:instrText>
            </w:r>
            <w:r w:rsidRPr="00E95A22">
              <w:fldChar w:fldCharType="separate"/>
            </w:r>
            <w:r w:rsidRPr="00E95A22">
              <w:rPr>
                <w:noProof/>
                <w:lang w:val="en-GB"/>
              </w:rPr>
              <w:t xml:space="preserve">Address: </w:t>
            </w:r>
            <w:r w:rsidRPr="00E95A22">
              <w:fldChar w:fldCharType="end"/>
            </w:r>
            <w:bookmarkEnd w:id="0"/>
            <w:r w:rsidRPr="00E95A22">
              <w:fldChar w:fldCharType="begin">
                <w:ffData>
                  <w:name w:val="Texte16"/>
                  <w:enabled/>
                  <w:calcOnExit w:val="0"/>
                  <w:textInput>
                    <w:default w:val="Complete address"/>
                  </w:textInput>
                </w:ffData>
              </w:fldChar>
            </w:r>
            <w:r w:rsidRPr="00E95A22">
              <w:rPr>
                <w:lang w:val="en-US"/>
              </w:rPr>
              <w:instrText xml:space="preserve"> FORMTEXT </w:instrText>
            </w:r>
            <w:r w:rsidRPr="00E95A22">
              <w:fldChar w:fldCharType="separate"/>
            </w:r>
            <w:r w:rsidRPr="00E95A22">
              <w:rPr>
                <w:noProof/>
                <w:lang w:val="en-GB"/>
              </w:rPr>
              <w:t>Complete address</w:t>
            </w:r>
            <w:r w:rsidRPr="00E95A22">
              <w:fldChar w:fldCharType="end"/>
            </w:r>
            <w:r w:rsidRPr="00E95A22">
              <w:fldChar w:fldCharType="begin">
                <w:ffData>
                  <w:name w:val="Texte19"/>
                  <w:enabled/>
                  <w:calcOnExit w:val="0"/>
                  <w:textInput>
                    <w:default w:val=" - "/>
                  </w:textInput>
                </w:ffData>
              </w:fldChar>
            </w:r>
            <w:r w:rsidRPr="00E95A22">
              <w:rPr>
                <w:lang w:val="en-US"/>
              </w:rPr>
              <w:instrText xml:space="preserve"> FORMTEXT </w:instrText>
            </w:r>
            <w:r w:rsidRPr="00E95A22">
              <w:fldChar w:fldCharType="separate"/>
            </w:r>
            <w:r w:rsidRPr="00E95A22">
              <w:rPr>
                <w:noProof/>
                <w:lang w:val="en-GB"/>
              </w:rPr>
              <w:t xml:space="preserve"> - </w:t>
            </w:r>
            <w:r w:rsidRPr="00E95A22">
              <w:fldChar w:fldCharType="end"/>
            </w:r>
            <w:r w:rsidRPr="00E95A22">
              <w:fldChar w:fldCharType="begin">
                <w:ffData>
                  <w:name w:val="Texte20"/>
                  <w:enabled/>
                  <w:calcOnExit w:val="0"/>
                  <w:textInput>
                    <w:default w:val="Country"/>
                  </w:textInput>
                </w:ffData>
              </w:fldChar>
            </w:r>
            <w:bookmarkStart w:id="1" w:name="Texte20"/>
            <w:r w:rsidRPr="00E95A22">
              <w:rPr>
                <w:lang w:val="en-US"/>
              </w:rPr>
              <w:instrText xml:space="preserve"> FORMTEXT </w:instrText>
            </w:r>
            <w:r w:rsidRPr="00E95A22">
              <w:fldChar w:fldCharType="separate"/>
            </w:r>
            <w:r w:rsidRPr="00E95A22">
              <w:rPr>
                <w:noProof/>
                <w:lang w:val="en-GB"/>
              </w:rPr>
              <w:t>Country</w:t>
            </w:r>
            <w:r w:rsidRPr="00E95A22">
              <w:fldChar w:fldCharType="end"/>
            </w:r>
            <w:bookmarkEnd w:id="1"/>
          </w:p>
          <w:p w:rsidR="00345ED8" w:rsidRPr="00E95A22" w:rsidRDefault="00345ED8" w:rsidP="001C4968">
            <w:pPr>
              <w:pStyle w:val="Adressepieddepage"/>
              <w:framePr w:wrap="notBeside" w:y="13467"/>
              <w:rPr>
                <w:lang w:val="en-US"/>
              </w:rPr>
            </w:pPr>
            <w:r w:rsidRPr="00E95A22">
              <w:fldChar w:fldCharType="begin">
                <w:ffData>
                  <w:name w:val="Texte34"/>
                  <w:enabled/>
                  <w:calcOnExit w:val="0"/>
                  <w:textInput>
                    <w:default w:val="Mailing address: "/>
                  </w:textInput>
                </w:ffData>
              </w:fldChar>
            </w:r>
            <w:bookmarkStart w:id="2" w:name="Texte34"/>
            <w:r w:rsidRPr="00E95A22">
              <w:rPr>
                <w:lang w:val="en-US"/>
              </w:rPr>
              <w:instrText xml:space="preserve"> FORMTEXT </w:instrText>
            </w:r>
            <w:r w:rsidRPr="00E95A22">
              <w:fldChar w:fldCharType="separate"/>
            </w:r>
            <w:r w:rsidRPr="00E95A22">
              <w:rPr>
                <w:noProof/>
                <w:lang w:val="en-GB"/>
              </w:rPr>
              <w:t xml:space="preserve">Mailing address: </w:t>
            </w:r>
            <w:r w:rsidRPr="00E95A22">
              <w:fldChar w:fldCharType="end"/>
            </w:r>
            <w:bookmarkEnd w:id="2"/>
            <w:r w:rsidRPr="00E95A22">
              <w:fldChar w:fldCharType="begin">
                <w:ffData>
                  <w:name w:val="Texte35"/>
                  <w:enabled/>
                  <w:calcOnExit w:val="0"/>
                  <w:textInput>
                    <w:default w:val="Complete address"/>
                  </w:textInput>
                </w:ffData>
              </w:fldChar>
            </w:r>
            <w:bookmarkStart w:id="3" w:name="Texte35"/>
            <w:r w:rsidRPr="00E95A22">
              <w:rPr>
                <w:lang w:val="en-US"/>
              </w:rPr>
              <w:instrText xml:space="preserve"> FORMTEXT </w:instrText>
            </w:r>
            <w:r w:rsidRPr="00E95A22">
              <w:fldChar w:fldCharType="separate"/>
            </w:r>
            <w:r w:rsidRPr="00E95A22">
              <w:rPr>
                <w:noProof/>
                <w:lang w:val="en-GB"/>
              </w:rPr>
              <w:t>Complete address</w:t>
            </w:r>
            <w:r w:rsidRPr="00E95A22">
              <w:fldChar w:fldCharType="end"/>
            </w:r>
            <w:bookmarkEnd w:id="3"/>
            <w:r w:rsidRPr="00E95A22">
              <w:fldChar w:fldCharType="begin">
                <w:ffData>
                  <w:name w:val="Texte38"/>
                  <w:enabled/>
                  <w:calcOnExit w:val="0"/>
                  <w:textInput>
                    <w:default w:val=" - "/>
                  </w:textInput>
                </w:ffData>
              </w:fldChar>
            </w:r>
            <w:r w:rsidRPr="00E95A22">
              <w:rPr>
                <w:lang w:val="en-US"/>
              </w:rPr>
              <w:instrText xml:space="preserve"> FORMTEXT </w:instrText>
            </w:r>
            <w:r w:rsidRPr="00E95A22">
              <w:fldChar w:fldCharType="separate"/>
            </w:r>
            <w:r w:rsidRPr="00E95A22">
              <w:rPr>
                <w:noProof/>
                <w:lang w:val="en-GB"/>
              </w:rPr>
              <w:t xml:space="preserve"> - </w:t>
            </w:r>
            <w:r w:rsidRPr="00E95A22">
              <w:fldChar w:fldCharType="end"/>
            </w:r>
            <w:r w:rsidRPr="00E95A22">
              <w:fldChar w:fldCharType="begin">
                <w:ffData>
                  <w:name w:val="Texte39"/>
                  <w:enabled/>
                  <w:calcOnExit w:val="0"/>
                  <w:textInput>
                    <w:default w:val="Country"/>
                  </w:textInput>
                </w:ffData>
              </w:fldChar>
            </w:r>
            <w:bookmarkStart w:id="4" w:name="Texte39"/>
            <w:r w:rsidRPr="00E95A22">
              <w:rPr>
                <w:lang w:val="en-US"/>
              </w:rPr>
              <w:instrText xml:space="preserve"> FORMTEXT </w:instrText>
            </w:r>
            <w:r w:rsidRPr="00E95A22">
              <w:fldChar w:fldCharType="separate"/>
            </w:r>
            <w:r w:rsidRPr="00E95A22">
              <w:rPr>
                <w:noProof/>
                <w:lang w:val="en-GB"/>
              </w:rPr>
              <w:t>Country</w:t>
            </w:r>
            <w:r w:rsidRPr="00E95A22">
              <w:fldChar w:fldCharType="end"/>
            </w:r>
            <w:bookmarkEnd w:id="4"/>
          </w:p>
          <w:p w:rsidR="00345ED8" w:rsidRPr="00E95A22" w:rsidRDefault="00345ED8" w:rsidP="001C4968">
            <w:pPr>
              <w:pStyle w:val="Adressepieddepage"/>
              <w:framePr w:wrap="notBeside" w:y="13467"/>
            </w:pPr>
            <w:r w:rsidRPr="00E95A22">
              <w:fldChar w:fldCharType="begin">
                <w:ffData>
                  <w:name w:val="Texte21"/>
                  <w:enabled/>
                  <w:calcOnExit w:val="0"/>
                  <w:textInput>
                    <w:default w:val="Tel.: "/>
                  </w:textInput>
                </w:ffData>
              </w:fldChar>
            </w:r>
            <w:bookmarkStart w:id="5" w:name="Texte21"/>
            <w:r w:rsidRPr="00E95A22">
              <w:instrText xml:space="preserve"> FORMTEXT </w:instrText>
            </w:r>
            <w:r w:rsidRPr="00E95A22">
              <w:fldChar w:fldCharType="separate"/>
            </w:r>
            <w:r w:rsidRPr="00E95A22">
              <w:rPr>
                <w:noProof/>
              </w:rPr>
              <w:t xml:space="preserve">Tel.: </w:t>
            </w:r>
            <w:r w:rsidRPr="00E95A22">
              <w:fldChar w:fldCharType="end"/>
            </w:r>
            <w:bookmarkEnd w:id="5"/>
            <w:r w:rsidRPr="00E95A22">
              <w:fldChar w:fldCharType="begin">
                <w:ffData>
                  <w:name w:val="Texte22"/>
                  <w:enabled/>
                  <w:calcOnExit w:val="0"/>
                  <w:textInput>
                    <w:default w:val="+33 (0)0 00 00 00 00"/>
                  </w:textInput>
                </w:ffData>
              </w:fldChar>
            </w:r>
            <w:bookmarkStart w:id="6" w:name="Texte22"/>
            <w:r w:rsidRPr="00E95A22">
              <w:instrText xml:space="preserve"> FORMTEXT </w:instrText>
            </w:r>
            <w:r w:rsidRPr="00E95A22">
              <w:fldChar w:fldCharType="separate"/>
            </w:r>
            <w:r w:rsidRPr="00E95A22">
              <w:rPr>
                <w:noProof/>
              </w:rPr>
              <w:t>+33 (0)0 00 00 00 00</w:t>
            </w:r>
            <w:r w:rsidRPr="00E95A22">
              <w:fldChar w:fldCharType="end"/>
            </w:r>
            <w:bookmarkEnd w:id="6"/>
            <w:r w:rsidRPr="00E95A22">
              <w:fldChar w:fldCharType="begin">
                <w:ffData>
                  <w:name w:val="Texte43"/>
                  <w:enabled/>
                  <w:calcOnExit w:val="0"/>
                  <w:textInput>
                    <w:default w:val=" - "/>
                  </w:textInput>
                </w:ffData>
              </w:fldChar>
            </w:r>
            <w:bookmarkStart w:id="7" w:name="Texte43"/>
            <w:r w:rsidRPr="00E95A22">
              <w:instrText xml:space="preserve"> FORMTEXT </w:instrText>
            </w:r>
            <w:r w:rsidRPr="00E95A22">
              <w:fldChar w:fldCharType="separate"/>
            </w:r>
            <w:r w:rsidRPr="00E95A22">
              <w:rPr>
                <w:noProof/>
              </w:rPr>
              <w:t xml:space="preserve"> - </w:t>
            </w:r>
            <w:r w:rsidRPr="00E95A22">
              <w:fldChar w:fldCharType="end"/>
            </w:r>
            <w:bookmarkEnd w:id="7"/>
            <w:r w:rsidRPr="00E95A22">
              <w:fldChar w:fldCharType="begin">
                <w:ffData>
                  <w:name w:val="Texte44"/>
                  <w:enabled/>
                  <w:calcOnExit w:val="0"/>
                  <w:textInput>
                    <w:default w:val="Fax: "/>
                  </w:textInput>
                </w:ffData>
              </w:fldChar>
            </w:r>
            <w:bookmarkStart w:id="8" w:name="Texte44"/>
            <w:r w:rsidRPr="00E95A22">
              <w:instrText xml:space="preserve"> FORMTEXT </w:instrText>
            </w:r>
            <w:r w:rsidRPr="00E95A22">
              <w:fldChar w:fldCharType="separate"/>
            </w:r>
            <w:r w:rsidRPr="00E95A22">
              <w:rPr>
                <w:noProof/>
              </w:rPr>
              <w:t xml:space="preserve">Fax: </w:t>
            </w:r>
            <w:r w:rsidRPr="00E95A22">
              <w:fldChar w:fldCharType="end"/>
            </w:r>
            <w:bookmarkEnd w:id="8"/>
            <w:r w:rsidRPr="00E95A22">
              <w:fldChar w:fldCharType="begin">
                <w:ffData>
                  <w:name w:val="Texte22"/>
                  <w:enabled/>
                  <w:calcOnExit w:val="0"/>
                  <w:textInput>
                    <w:default w:val="+33 (0)0 00 00 00 00"/>
                  </w:textInput>
                </w:ffData>
              </w:fldChar>
            </w:r>
            <w:r w:rsidRPr="00E95A22">
              <w:instrText xml:space="preserve"> FORMTEXT </w:instrText>
            </w:r>
            <w:r w:rsidRPr="00E95A22">
              <w:fldChar w:fldCharType="separate"/>
            </w:r>
            <w:r w:rsidRPr="00E95A22">
              <w:rPr>
                <w:noProof/>
              </w:rPr>
              <w:t>+33 (0)0 00 00 00 00</w:t>
            </w:r>
            <w:r w:rsidRPr="00E95A22">
              <w:fldChar w:fldCharType="end"/>
            </w:r>
            <w:r w:rsidRPr="00E95A22">
              <w:fldChar w:fldCharType="begin">
                <w:ffData>
                  <w:name w:val="Texte23"/>
                  <w:enabled/>
                  <w:calcOnExit w:val="0"/>
                  <w:textInput>
                    <w:default w:val=" - "/>
                  </w:textInput>
                </w:ffData>
              </w:fldChar>
            </w:r>
            <w:r w:rsidRPr="00E95A22">
              <w:instrText xml:space="preserve"> FORMTEXT </w:instrText>
            </w:r>
            <w:r w:rsidRPr="00E95A22">
              <w:fldChar w:fldCharType="separate"/>
            </w:r>
            <w:r w:rsidRPr="00E95A22">
              <w:rPr>
                <w:noProof/>
              </w:rPr>
              <w:t xml:space="preserve"> - </w:t>
            </w:r>
            <w:r w:rsidRPr="00E95A22">
              <w:fldChar w:fldCharType="end"/>
            </w:r>
            <w:r w:rsidRPr="00E95A22">
              <w:fldChar w:fldCharType="begin">
                <w:ffData>
                  <w:name w:val="Texte24"/>
                  <w:enabled/>
                  <w:calcOnExit w:val="0"/>
                  <w:textInput>
                    <w:default w:val="amundi.com"/>
                  </w:textInput>
                </w:ffData>
              </w:fldChar>
            </w:r>
            <w:r w:rsidRPr="00E95A22">
              <w:instrText xml:space="preserve"> FORMTEXT </w:instrText>
            </w:r>
            <w:r w:rsidRPr="00E95A22">
              <w:fldChar w:fldCharType="separate"/>
            </w:r>
            <w:r w:rsidRPr="00E95A22">
              <w:rPr>
                <w:noProof/>
              </w:rPr>
              <w:t>amundi.com</w:t>
            </w:r>
            <w:r w:rsidRPr="00E95A22">
              <w:fldChar w:fldCharType="end"/>
            </w:r>
          </w:p>
          <w:p w:rsidR="00345ED8" w:rsidRPr="00E95A22" w:rsidRDefault="00345ED8">
            <w:pPr>
              <w:framePr w:w="6521" w:h="57" w:wrap="notBeside" w:vAnchor="page" w:hAnchor="page" w:x="681" w:y="13467" w:anchorLock="1"/>
              <w:spacing w:line="60" w:lineRule="exact"/>
              <w:rPr>
                <w:color w:val="00235D"/>
              </w:rPr>
            </w:pPr>
          </w:p>
          <w:p w:rsidR="00345ED8" w:rsidRPr="00E95A22" w:rsidRDefault="00345ED8" w:rsidP="001C4968">
            <w:pPr>
              <w:pStyle w:val="Capitaletrfrences"/>
              <w:framePr w:wrap="notBeside" w:y="13467"/>
            </w:pPr>
            <w:r w:rsidRPr="00E95A22">
              <w:fldChar w:fldCharType="begin">
                <w:ffData>
                  <w:name w:val="Texte25"/>
                  <w:enabled/>
                  <w:calcOnExit w:val="0"/>
                  <w:textInput>
                    <w:default w:val="Société Anonyme au capital de "/>
                  </w:textInput>
                </w:ffData>
              </w:fldChar>
            </w:r>
            <w:r w:rsidRPr="00E95A22">
              <w:instrText xml:space="preserve"> FORMTEXT </w:instrText>
            </w:r>
            <w:r w:rsidRPr="00E95A22">
              <w:fldChar w:fldCharType="separate"/>
            </w:r>
            <w:r w:rsidRPr="00E95A22">
              <w:rPr>
                <w:noProof/>
              </w:rPr>
              <w:t xml:space="preserve">Société Anonyme au capital de </w:t>
            </w:r>
            <w:r w:rsidRPr="00E95A22">
              <w:fldChar w:fldCharType="end"/>
            </w:r>
            <w:r w:rsidR="00E95A22" w:rsidRPr="00E95A22">
              <w:t>596 262 615</w:t>
            </w:r>
            <w:r w:rsidRPr="00E95A22">
              <w:fldChar w:fldCharType="begin">
                <w:ffData>
                  <w:name w:val="Texte27"/>
                  <w:enabled/>
                  <w:calcOnExit w:val="0"/>
                  <w:textInput>
                    <w:default w:val=" euros"/>
                  </w:textInput>
                </w:ffData>
              </w:fldChar>
            </w:r>
            <w:r w:rsidRPr="00E95A22">
              <w:instrText xml:space="preserve"> FORMTEXT </w:instrText>
            </w:r>
            <w:r w:rsidRPr="00E95A22">
              <w:fldChar w:fldCharType="separate"/>
            </w:r>
            <w:r w:rsidRPr="00E95A22">
              <w:rPr>
                <w:noProof/>
              </w:rPr>
              <w:t xml:space="preserve"> euros</w:t>
            </w:r>
            <w:r w:rsidRPr="00E95A22">
              <w:fldChar w:fldCharType="end"/>
            </w:r>
            <w:r w:rsidRPr="00E95A22">
              <w:fldChar w:fldCharType="begin">
                <w:ffData>
                  <w:name w:val="Texte40"/>
                  <w:enabled/>
                  <w:calcOnExit w:val="0"/>
                  <w:textInput>
                    <w:default w:val=" - "/>
                  </w:textInput>
                </w:ffData>
              </w:fldChar>
            </w:r>
            <w:r w:rsidRPr="00E95A22">
              <w:instrText xml:space="preserve"> FORMTEXT </w:instrText>
            </w:r>
            <w:r w:rsidRPr="00E95A22">
              <w:fldChar w:fldCharType="separate"/>
            </w:r>
            <w:r w:rsidRPr="00E95A22">
              <w:rPr>
                <w:noProof/>
              </w:rPr>
              <w:t xml:space="preserve"> - </w:t>
            </w:r>
            <w:r w:rsidRPr="00E95A22">
              <w:fldChar w:fldCharType="end"/>
            </w:r>
            <w:r w:rsidRPr="00E95A22">
              <w:fldChar w:fldCharType="begin">
                <w:ffData>
                  <w:name w:val="Texte41"/>
                  <w:enabled/>
                  <w:calcOnExit w:val="0"/>
                  <w:textInput>
                    <w:default w:val="437 574 452"/>
                  </w:textInput>
                </w:ffData>
              </w:fldChar>
            </w:r>
            <w:bookmarkStart w:id="9" w:name="Texte41"/>
            <w:r w:rsidRPr="00E95A22">
              <w:instrText xml:space="preserve"> FORMTEXT </w:instrText>
            </w:r>
            <w:r w:rsidRPr="00E95A22">
              <w:fldChar w:fldCharType="separate"/>
            </w:r>
            <w:r w:rsidRPr="00E95A22">
              <w:rPr>
                <w:noProof/>
              </w:rPr>
              <w:t>437 574 452</w:t>
            </w:r>
            <w:r w:rsidRPr="00E95A22">
              <w:fldChar w:fldCharType="end"/>
            </w:r>
            <w:bookmarkEnd w:id="9"/>
            <w:r w:rsidRPr="00E95A22">
              <w:fldChar w:fldCharType="begin">
                <w:ffData>
                  <w:name w:val="Texte42"/>
                  <w:enabled/>
                  <w:calcOnExit w:val="0"/>
                  <w:textInput>
                    <w:default w:val=" RCS Paris"/>
                  </w:textInput>
                </w:ffData>
              </w:fldChar>
            </w:r>
            <w:bookmarkStart w:id="10" w:name="Texte42"/>
            <w:r w:rsidRPr="00E95A22">
              <w:instrText xml:space="preserve"> FORMTEXT </w:instrText>
            </w:r>
            <w:r w:rsidRPr="00E95A22">
              <w:fldChar w:fldCharType="separate"/>
            </w:r>
            <w:r w:rsidRPr="00E95A22">
              <w:rPr>
                <w:noProof/>
              </w:rPr>
              <w:t xml:space="preserve"> RCS Paris</w:t>
            </w:r>
            <w:r w:rsidRPr="00E95A22">
              <w:fldChar w:fldCharType="end"/>
            </w:r>
            <w:bookmarkEnd w:id="10"/>
          </w:p>
          <w:p w:rsidR="00345ED8" w:rsidRPr="00E95A22" w:rsidRDefault="00345ED8" w:rsidP="001C4968">
            <w:pPr>
              <w:pStyle w:val="Capitaletrfrences"/>
              <w:framePr w:wrap="notBeside" w:y="13467"/>
            </w:pPr>
            <w:r w:rsidRPr="00E95A22">
              <w:fldChar w:fldCharType="begin">
                <w:ffData>
                  <w:name w:val="Texte28"/>
                  <w:enabled/>
                  <w:calcOnExit w:val="0"/>
                  <w:textInput>
                    <w:default w:val="Société de Gestion de Portefeuille agréée par l'AMF (Autorité des Marchés Financiers)"/>
                  </w:textInput>
                </w:ffData>
              </w:fldChar>
            </w:r>
            <w:bookmarkStart w:id="11" w:name="Texte28"/>
            <w:r w:rsidRPr="00E95A22">
              <w:instrText xml:space="preserve"> FORMTEXT </w:instrText>
            </w:r>
            <w:r w:rsidRPr="00E95A22">
              <w:fldChar w:fldCharType="separate"/>
            </w:r>
            <w:r w:rsidRPr="00E95A22">
              <w:rPr>
                <w:noProof/>
              </w:rPr>
              <w:t>Société de Gestion de Portefeuille agréée par l'AMF (Autorité des Marchés Financiers)</w:t>
            </w:r>
            <w:r w:rsidRPr="00E95A22">
              <w:fldChar w:fldCharType="end"/>
            </w:r>
            <w:bookmarkEnd w:id="11"/>
          </w:p>
          <w:p w:rsidR="00345ED8" w:rsidRPr="00E95A22" w:rsidRDefault="00345ED8" w:rsidP="001C4968">
            <w:pPr>
              <w:pStyle w:val="Capitaletrfrences"/>
              <w:framePr w:wrap="notBeside" w:y="13467"/>
              <w:rPr>
                <w:lang w:val="en-US"/>
              </w:rPr>
            </w:pPr>
            <w:r w:rsidRPr="00E95A22">
              <w:fldChar w:fldCharType="begin">
                <w:ffData>
                  <w:name w:val="Texte29"/>
                  <w:enabled/>
                  <w:calcOnExit w:val="0"/>
                  <w:textInput>
                    <w:default w:val="n° GP "/>
                  </w:textInput>
                </w:ffData>
              </w:fldChar>
            </w:r>
            <w:bookmarkStart w:id="12" w:name="Texte29"/>
            <w:r w:rsidRPr="00E95A22">
              <w:rPr>
                <w:lang w:val="en-US"/>
              </w:rPr>
              <w:instrText xml:space="preserve"> FORMTEXT </w:instrText>
            </w:r>
            <w:r w:rsidRPr="00E95A22">
              <w:fldChar w:fldCharType="separate"/>
            </w:r>
            <w:r w:rsidRPr="00E95A22">
              <w:rPr>
                <w:noProof/>
              </w:rPr>
              <w:t xml:space="preserve">n° GP </w:t>
            </w:r>
            <w:r w:rsidRPr="00E95A22">
              <w:fldChar w:fldCharType="end"/>
            </w:r>
            <w:bookmarkEnd w:id="12"/>
            <w:r w:rsidRPr="00E95A22">
              <w:fldChar w:fldCharType="begin">
                <w:ffData>
                  <w:name w:val="Texte46"/>
                  <w:enabled/>
                  <w:calcOnExit w:val="0"/>
                  <w:textInput>
                    <w:default w:val="04000036"/>
                  </w:textInput>
                </w:ffData>
              </w:fldChar>
            </w:r>
            <w:bookmarkStart w:id="13" w:name="Texte46"/>
            <w:r w:rsidRPr="00E95A22">
              <w:rPr>
                <w:lang w:val="en-US"/>
              </w:rPr>
              <w:instrText xml:space="preserve"> FORMTEXT </w:instrText>
            </w:r>
            <w:r w:rsidRPr="00E95A22">
              <w:fldChar w:fldCharType="separate"/>
            </w:r>
            <w:r w:rsidRPr="00E95A22">
              <w:rPr>
                <w:noProof/>
              </w:rPr>
              <w:t>04000036</w:t>
            </w:r>
            <w:r w:rsidRPr="00E95A22">
              <w:fldChar w:fldCharType="end"/>
            </w:r>
            <w:bookmarkEnd w:id="13"/>
            <w:r w:rsidRPr="00E95A22">
              <w:fldChar w:fldCharType="begin">
                <w:ffData>
                  <w:name w:val="Texte45"/>
                  <w:enabled/>
                  <w:calcOnExit w:val="0"/>
                  <w:textInput>
                    <w:default w:val="."/>
                  </w:textInput>
                </w:ffData>
              </w:fldChar>
            </w:r>
            <w:bookmarkStart w:id="14" w:name="Texte45"/>
            <w:r w:rsidRPr="00E95A22">
              <w:rPr>
                <w:lang w:val="en-US"/>
              </w:rPr>
              <w:instrText xml:space="preserve"> FORMTEXT </w:instrText>
            </w:r>
            <w:r w:rsidRPr="00E95A22">
              <w:fldChar w:fldCharType="separate"/>
            </w:r>
            <w:r w:rsidRPr="00E95A22">
              <w:rPr>
                <w:noProof/>
              </w:rPr>
              <w:t>.</w:t>
            </w:r>
            <w:r w:rsidRPr="00E95A22">
              <w:fldChar w:fldCharType="end"/>
            </w:r>
            <w:bookmarkEnd w:id="14"/>
          </w:p>
        </w:tc>
      </w:tr>
    </w:tbl>
    <w:p w:rsidR="00780262" w:rsidRPr="00780262" w:rsidRDefault="00780262" w:rsidP="00780262">
      <w:pPr>
        <w:spacing w:line="240" w:lineRule="auto"/>
        <w:jc w:val="both"/>
        <w:rPr>
          <w:rFonts w:eastAsia="MS Mincho" w:cs="Arial"/>
          <w:snapToGrid w:val="0"/>
          <w:sz w:val="22"/>
          <w:szCs w:val="22"/>
          <w:lang w:val="en-GB" w:eastAsia="en-US"/>
        </w:rPr>
      </w:pPr>
      <w:r w:rsidRPr="00780262">
        <w:rPr>
          <w:rFonts w:eastAsia="MS Mincho" w:cs="Arial"/>
          <w:snapToGrid w:val="0"/>
          <w:sz w:val="22"/>
          <w:szCs w:val="22"/>
          <w:lang w:val="en-GB" w:eastAsia="en-US"/>
        </w:rPr>
        <w:t>Amundi is the European leader and in the Top 10 worldwide in the asset management industry with AUM of more than  €850 billion worldwide.</w:t>
      </w:r>
    </w:p>
    <w:p w:rsidR="00780262" w:rsidRPr="00780262" w:rsidRDefault="00780262" w:rsidP="00780262">
      <w:pPr>
        <w:spacing w:line="240" w:lineRule="auto"/>
        <w:jc w:val="both"/>
        <w:rPr>
          <w:rFonts w:eastAsia="MS Mincho" w:cs="Arial"/>
          <w:snapToGrid w:val="0"/>
          <w:sz w:val="22"/>
          <w:szCs w:val="22"/>
          <w:lang w:val="en-GB" w:eastAsia="en-US"/>
        </w:rPr>
      </w:pPr>
    </w:p>
    <w:p w:rsidR="00780262" w:rsidRPr="00780262" w:rsidRDefault="00780262" w:rsidP="00780262">
      <w:pPr>
        <w:spacing w:line="240" w:lineRule="auto"/>
        <w:jc w:val="both"/>
        <w:rPr>
          <w:rFonts w:eastAsia="MS Mincho" w:cs="Arial"/>
          <w:snapToGrid w:val="0"/>
          <w:sz w:val="22"/>
          <w:szCs w:val="22"/>
          <w:lang w:val="en-GB" w:eastAsia="en-US"/>
        </w:rPr>
      </w:pPr>
      <w:r w:rsidRPr="00780262">
        <w:rPr>
          <w:rFonts w:eastAsia="MS Mincho" w:cs="Arial"/>
          <w:snapToGrid w:val="0"/>
          <w:sz w:val="22"/>
          <w:szCs w:val="22"/>
          <w:lang w:val="en-GB" w:eastAsia="en-US"/>
        </w:rPr>
        <w:t>Located at the heart of the main investment regions in more than 30 countries, Amundi offers a comprehensive range of products covering all asset classes and major currencies.</w:t>
      </w:r>
      <w:r>
        <w:rPr>
          <w:rFonts w:eastAsia="MS Mincho" w:cs="Arial"/>
          <w:snapToGrid w:val="0"/>
          <w:sz w:val="22"/>
          <w:szCs w:val="22"/>
          <w:lang w:val="en-GB" w:eastAsia="en-US"/>
        </w:rPr>
        <w:t xml:space="preserve"> </w:t>
      </w:r>
      <w:r w:rsidRPr="00780262">
        <w:rPr>
          <w:rFonts w:eastAsia="MS Mincho" w:cs="Arial"/>
          <w:snapToGrid w:val="0"/>
          <w:sz w:val="22"/>
          <w:szCs w:val="22"/>
          <w:lang w:val="en-GB" w:eastAsia="en-US"/>
        </w:rPr>
        <w:t>Amundi has developed savings solutions to meet the needs of more than 100 million retail clients worldwide and designs innovative, high-performing products for institutional clients which are tailored specifically to their requirements and risk profile.</w:t>
      </w:r>
      <w:r>
        <w:rPr>
          <w:rFonts w:eastAsia="MS Mincho" w:cs="Arial"/>
          <w:snapToGrid w:val="0"/>
          <w:sz w:val="22"/>
          <w:szCs w:val="22"/>
          <w:lang w:val="en-GB" w:eastAsia="en-US"/>
        </w:rPr>
        <w:t xml:space="preserve"> </w:t>
      </w:r>
      <w:r w:rsidRPr="00780262">
        <w:rPr>
          <w:rFonts w:eastAsia="MS Mincho" w:cs="Arial"/>
          <w:snapToGrid w:val="0"/>
          <w:sz w:val="22"/>
          <w:szCs w:val="22"/>
          <w:lang w:val="en-GB" w:eastAsia="en-US"/>
        </w:rPr>
        <w:t>The Group contributes to funding the economy by orienting savings towards company development.</w:t>
      </w:r>
    </w:p>
    <w:p w:rsidR="00345ED8" w:rsidRPr="00780262" w:rsidRDefault="00345ED8">
      <w:pPr>
        <w:rPr>
          <w:lang w:val="en-GB"/>
        </w:rPr>
      </w:pPr>
    </w:p>
    <w:p w:rsidR="00A14091" w:rsidRDefault="00780262" w:rsidP="00780262">
      <w:pPr>
        <w:pStyle w:val="Default"/>
        <w:jc w:val="both"/>
        <w:rPr>
          <w:sz w:val="22"/>
          <w:szCs w:val="22"/>
          <w:lang w:val="en-GB"/>
        </w:rPr>
      </w:pPr>
      <w:r>
        <w:rPr>
          <w:sz w:val="22"/>
          <w:szCs w:val="22"/>
          <w:lang w:val="en-GB"/>
        </w:rPr>
        <w:t>Managing many UCITS, Amundi is highly</w:t>
      </w:r>
      <w:r w:rsidR="009E2D0E">
        <w:rPr>
          <w:sz w:val="22"/>
          <w:szCs w:val="22"/>
          <w:lang w:val="en-GB"/>
        </w:rPr>
        <w:t xml:space="preserve"> concerned</w:t>
      </w:r>
      <w:r>
        <w:rPr>
          <w:sz w:val="22"/>
          <w:szCs w:val="22"/>
          <w:lang w:val="en-GB"/>
        </w:rPr>
        <w:t xml:space="preserve"> with all the evolution of this internationally recognised label and is particularly grateful of the constant work undertaken by </w:t>
      </w:r>
      <w:r w:rsidR="009E2D0E">
        <w:rPr>
          <w:sz w:val="22"/>
          <w:szCs w:val="22"/>
          <w:lang w:val="en-GB"/>
        </w:rPr>
        <w:t>Europe</w:t>
      </w:r>
      <w:r w:rsidR="003A741C">
        <w:rPr>
          <w:sz w:val="22"/>
          <w:szCs w:val="22"/>
          <w:lang w:val="en-GB"/>
        </w:rPr>
        <w:t>a</w:t>
      </w:r>
      <w:r w:rsidR="009E2D0E">
        <w:rPr>
          <w:sz w:val="22"/>
          <w:szCs w:val="22"/>
          <w:lang w:val="en-GB"/>
        </w:rPr>
        <w:t>n authorities</w:t>
      </w:r>
      <w:r>
        <w:rPr>
          <w:sz w:val="22"/>
          <w:szCs w:val="22"/>
          <w:lang w:val="en-GB"/>
        </w:rPr>
        <w:t xml:space="preserve"> to maintain the high standards of quality </w:t>
      </w:r>
      <w:r w:rsidR="00A14091">
        <w:rPr>
          <w:sz w:val="22"/>
          <w:szCs w:val="22"/>
          <w:lang w:val="en-GB"/>
        </w:rPr>
        <w:t>of UCITS. In that respect, Amundi welcomes ESMA’s decision to start a reflexion on share classes of UCITS and is happy to answer to the questions raised at a time when ESMA has not</w:t>
      </w:r>
      <w:r w:rsidR="009E2D0E">
        <w:rPr>
          <w:sz w:val="22"/>
          <w:szCs w:val="22"/>
          <w:lang w:val="en-GB"/>
        </w:rPr>
        <w:t xml:space="preserve"> yet</w:t>
      </w:r>
      <w:r w:rsidR="00A14091">
        <w:rPr>
          <w:sz w:val="22"/>
          <w:szCs w:val="22"/>
          <w:lang w:val="en-GB"/>
        </w:rPr>
        <w:t xml:space="preserve"> reached a doctrine and is asking for general comments by stakeholders. </w:t>
      </w:r>
    </w:p>
    <w:p w:rsidR="00EF1D56" w:rsidRPr="00780262" w:rsidRDefault="00EF1D56" w:rsidP="00780262">
      <w:pPr>
        <w:pStyle w:val="Default"/>
        <w:jc w:val="both"/>
        <w:rPr>
          <w:sz w:val="22"/>
          <w:szCs w:val="22"/>
          <w:lang w:val="en-GB"/>
        </w:rPr>
      </w:pPr>
    </w:p>
    <w:p w:rsidR="00A8546D" w:rsidRDefault="00A8546D" w:rsidP="00A8546D">
      <w:pPr>
        <w:pStyle w:val="Default"/>
        <w:spacing w:after="302"/>
        <w:rPr>
          <w:b/>
          <w:bCs/>
          <w:sz w:val="22"/>
          <w:szCs w:val="22"/>
        </w:rPr>
      </w:pPr>
      <w:r>
        <w:rPr>
          <w:b/>
          <w:bCs/>
          <w:sz w:val="22"/>
          <w:szCs w:val="22"/>
        </w:rPr>
        <w:t xml:space="preserve">1. What are the drivers for creating different share classes? </w:t>
      </w:r>
    </w:p>
    <w:p w:rsidR="00A8546D" w:rsidRDefault="00A8546D" w:rsidP="00A8546D">
      <w:pPr>
        <w:pStyle w:val="Default"/>
        <w:spacing w:after="302"/>
        <w:jc w:val="both"/>
        <w:rPr>
          <w:sz w:val="22"/>
          <w:szCs w:val="22"/>
        </w:rPr>
      </w:pPr>
      <w:r>
        <w:rPr>
          <w:sz w:val="22"/>
          <w:szCs w:val="22"/>
        </w:rPr>
        <w:t xml:space="preserve">Asset managers when they create different share classes want to better serve their clients. </w:t>
      </w:r>
      <w:r w:rsidR="00741C28">
        <w:rPr>
          <w:sz w:val="22"/>
          <w:szCs w:val="22"/>
        </w:rPr>
        <w:t xml:space="preserve">Being a Member of both associations, </w:t>
      </w:r>
      <w:r>
        <w:rPr>
          <w:sz w:val="22"/>
          <w:szCs w:val="22"/>
        </w:rPr>
        <w:t xml:space="preserve">Amundi </w:t>
      </w:r>
      <w:r w:rsidR="00741C28">
        <w:rPr>
          <w:sz w:val="22"/>
          <w:szCs w:val="22"/>
        </w:rPr>
        <w:t>refers to</w:t>
      </w:r>
      <w:r>
        <w:rPr>
          <w:sz w:val="22"/>
          <w:szCs w:val="22"/>
        </w:rPr>
        <w:t xml:space="preserve"> the detailed explanations provided by EFAMA </w:t>
      </w:r>
      <w:r w:rsidR="00741C28">
        <w:rPr>
          <w:sz w:val="22"/>
          <w:szCs w:val="22"/>
        </w:rPr>
        <w:t>and AFG</w:t>
      </w:r>
      <w:r>
        <w:rPr>
          <w:sz w:val="22"/>
          <w:szCs w:val="22"/>
        </w:rPr>
        <w:t xml:space="preserve"> in </w:t>
      </w:r>
      <w:r w:rsidR="00741C28">
        <w:rPr>
          <w:sz w:val="22"/>
          <w:szCs w:val="22"/>
        </w:rPr>
        <w:t>their</w:t>
      </w:r>
      <w:r>
        <w:rPr>
          <w:sz w:val="22"/>
          <w:szCs w:val="22"/>
        </w:rPr>
        <w:t xml:space="preserve"> answer to that question.</w:t>
      </w:r>
    </w:p>
    <w:p w:rsidR="00A8546D" w:rsidRDefault="00A8546D" w:rsidP="00A8546D">
      <w:pPr>
        <w:pStyle w:val="Default"/>
        <w:spacing w:after="302"/>
        <w:jc w:val="both"/>
        <w:rPr>
          <w:b/>
          <w:bCs/>
          <w:sz w:val="22"/>
          <w:szCs w:val="22"/>
        </w:rPr>
      </w:pPr>
      <w:r>
        <w:rPr>
          <w:b/>
          <w:bCs/>
          <w:sz w:val="22"/>
          <w:szCs w:val="22"/>
        </w:rPr>
        <w:t xml:space="preserve">2. Why do certain UCITS decide to create share classes instead of setting up a new UCITS? </w:t>
      </w:r>
    </w:p>
    <w:p w:rsidR="00A8546D" w:rsidRDefault="00A8546D" w:rsidP="00A8546D">
      <w:pPr>
        <w:pStyle w:val="Default"/>
        <w:spacing w:after="120"/>
        <w:jc w:val="both"/>
        <w:rPr>
          <w:sz w:val="22"/>
          <w:szCs w:val="22"/>
        </w:rPr>
      </w:pPr>
      <w:r>
        <w:rPr>
          <w:sz w:val="22"/>
          <w:szCs w:val="22"/>
        </w:rPr>
        <w:t xml:space="preserve">It is far more convenient and less expensive to launch a new class of shares instead of creating a new fund or sub-fund. Furthermore in terms of risk and efficiency a share class enables a better management of the liquidity risk and is the most efficient way to have exactly the same basis portfolio which is common to all shares. Alternative techniques such as pooling or duplication are less simple and have obvious drawbacks resulting from operational complexity or potential conflict of interest. </w:t>
      </w:r>
    </w:p>
    <w:p w:rsidR="00A8546D" w:rsidRDefault="00A8546D" w:rsidP="00A8546D">
      <w:pPr>
        <w:pStyle w:val="Default"/>
        <w:spacing w:after="302"/>
        <w:jc w:val="both"/>
        <w:rPr>
          <w:sz w:val="22"/>
          <w:szCs w:val="22"/>
        </w:rPr>
      </w:pPr>
      <w:r>
        <w:rPr>
          <w:sz w:val="22"/>
          <w:szCs w:val="22"/>
        </w:rPr>
        <w:lastRenderedPageBreak/>
        <w:t>Share classes offer the best readability to clients who can access the same portfolio through different channels (the classes)  each of which adds a specific characteristic. Arbitrage from one share class to another is easy and usually costless for the client.</w:t>
      </w:r>
    </w:p>
    <w:p w:rsidR="00A8546D" w:rsidRDefault="00A8546D" w:rsidP="00A8546D">
      <w:pPr>
        <w:pStyle w:val="Default"/>
        <w:spacing w:after="302"/>
        <w:rPr>
          <w:b/>
          <w:bCs/>
          <w:sz w:val="22"/>
          <w:szCs w:val="22"/>
        </w:rPr>
      </w:pPr>
      <w:r>
        <w:rPr>
          <w:b/>
          <w:bCs/>
          <w:sz w:val="22"/>
          <w:szCs w:val="22"/>
        </w:rPr>
        <w:t xml:space="preserve">3. What are the costs of creating and operating a new share class compared to the cost of creating and operating a separate UCITS? </w:t>
      </w:r>
    </w:p>
    <w:p w:rsidR="00A8546D" w:rsidRDefault="00A8546D" w:rsidP="00A8546D">
      <w:pPr>
        <w:pStyle w:val="Default"/>
        <w:spacing w:after="120"/>
        <w:jc w:val="both"/>
        <w:rPr>
          <w:bCs/>
          <w:sz w:val="22"/>
          <w:szCs w:val="22"/>
        </w:rPr>
      </w:pPr>
      <w:r>
        <w:rPr>
          <w:bCs/>
          <w:sz w:val="22"/>
          <w:szCs w:val="22"/>
        </w:rPr>
        <w:t xml:space="preserve">In </w:t>
      </w:r>
      <w:proofErr w:type="spellStart"/>
      <w:r>
        <w:rPr>
          <w:bCs/>
          <w:sz w:val="22"/>
          <w:szCs w:val="22"/>
        </w:rPr>
        <w:t>Amundi’s</w:t>
      </w:r>
      <w:proofErr w:type="spellEnd"/>
      <w:r>
        <w:rPr>
          <w:bCs/>
          <w:sz w:val="22"/>
          <w:szCs w:val="22"/>
        </w:rPr>
        <w:t xml:space="preserve"> experience, there is a clear saving in starting a share class instead of a new fund or sub-fund. Additional fixed costs are eventually not significant, even tending to zero, when launching a new class and</w:t>
      </w:r>
      <w:r w:rsidR="00A5403D">
        <w:rPr>
          <w:bCs/>
          <w:sz w:val="22"/>
          <w:szCs w:val="22"/>
        </w:rPr>
        <w:t>,</w:t>
      </w:r>
      <w:r>
        <w:rPr>
          <w:bCs/>
          <w:sz w:val="22"/>
          <w:szCs w:val="22"/>
        </w:rPr>
        <w:t xml:space="preserve"> when starting a new fund or sub-fund</w:t>
      </w:r>
      <w:r w:rsidR="00A5403D">
        <w:rPr>
          <w:bCs/>
          <w:sz w:val="22"/>
          <w:szCs w:val="22"/>
        </w:rPr>
        <w:t>,</w:t>
      </w:r>
      <w:r>
        <w:rPr>
          <w:bCs/>
          <w:sz w:val="22"/>
          <w:szCs w:val="22"/>
        </w:rPr>
        <w:t xml:space="preserve"> </w:t>
      </w:r>
      <w:r w:rsidR="00A5403D">
        <w:rPr>
          <w:bCs/>
          <w:sz w:val="22"/>
          <w:szCs w:val="22"/>
        </w:rPr>
        <w:t xml:space="preserve">they are such </w:t>
      </w:r>
      <w:r>
        <w:rPr>
          <w:bCs/>
          <w:sz w:val="22"/>
          <w:szCs w:val="22"/>
        </w:rPr>
        <w:t>that it is not economical to start a fund which will not reach 50 million € in assets. Below that level depository, accounting and auditing fixed cost will not be bearable (except for some funds with very high management fees that can include those costs).</w:t>
      </w:r>
    </w:p>
    <w:p w:rsidR="00A8546D" w:rsidRDefault="00A8546D" w:rsidP="00A8546D">
      <w:pPr>
        <w:pStyle w:val="Default"/>
        <w:spacing w:after="120"/>
        <w:jc w:val="both"/>
        <w:rPr>
          <w:bCs/>
          <w:sz w:val="22"/>
          <w:szCs w:val="22"/>
        </w:rPr>
      </w:pPr>
      <w:r>
        <w:rPr>
          <w:bCs/>
          <w:sz w:val="22"/>
          <w:szCs w:val="22"/>
        </w:rPr>
        <w:t>Furthermore variable costs will be at the marginal level and not from the first € in case of charges scaling down with the assets under custody for example.</w:t>
      </w:r>
    </w:p>
    <w:p w:rsidR="00C95ECD" w:rsidRDefault="00C95ECD" w:rsidP="00A8546D">
      <w:pPr>
        <w:pStyle w:val="Default"/>
        <w:spacing w:after="120"/>
        <w:jc w:val="both"/>
        <w:rPr>
          <w:bCs/>
          <w:sz w:val="22"/>
          <w:szCs w:val="22"/>
        </w:rPr>
      </w:pPr>
      <w:r>
        <w:rPr>
          <w:bCs/>
          <w:sz w:val="22"/>
          <w:szCs w:val="22"/>
        </w:rPr>
        <w:t xml:space="preserve">Operationally, the </w:t>
      </w:r>
      <w:r w:rsidR="00A5403D">
        <w:rPr>
          <w:bCs/>
          <w:sz w:val="22"/>
          <w:szCs w:val="22"/>
        </w:rPr>
        <w:t>possibility</w:t>
      </w:r>
      <w:r>
        <w:rPr>
          <w:bCs/>
          <w:sz w:val="22"/>
          <w:szCs w:val="22"/>
        </w:rPr>
        <w:t xml:space="preserve"> to rely on existing relationships and contracts that have been signed on behalf of the fund or to be able to launch new share classes without important seed money </w:t>
      </w:r>
      <w:r w:rsidR="00A5403D">
        <w:rPr>
          <w:bCs/>
          <w:sz w:val="22"/>
          <w:szCs w:val="22"/>
        </w:rPr>
        <w:t>or to use the track record of the common investment strategy do facilitate investment management and marketing.</w:t>
      </w:r>
    </w:p>
    <w:p w:rsidR="00A8546D" w:rsidRPr="007C1E54" w:rsidRDefault="00A8546D" w:rsidP="00A8546D">
      <w:pPr>
        <w:pStyle w:val="Default"/>
        <w:spacing w:after="302"/>
        <w:jc w:val="both"/>
        <w:rPr>
          <w:sz w:val="22"/>
          <w:szCs w:val="22"/>
        </w:rPr>
      </w:pPr>
      <w:r>
        <w:rPr>
          <w:bCs/>
          <w:sz w:val="22"/>
          <w:szCs w:val="22"/>
        </w:rPr>
        <w:t xml:space="preserve">If we complain, for the sake of the competitiveness of European fund management industry, that average individual size of funds is too low it is of utmost importance not to reduce the possibility to increase their assets through different share classes. </w:t>
      </w:r>
    </w:p>
    <w:p w:rsidR="00A8546D" w:rsidRDefault="00A8546D" w:rsidP="00A8546D">
      <w:pPr>
        <w:pStyle w:val="Default"/>
        <w:spacing w:after="302"/>
        <w:rPr>
          <w:b/>
          <w:bCs/>
          <w:sz w:val="22"/>
          <w:szCs w:val="22"/>
        </w:rPr>
      </w:pPr>
      <w:r>
        <w:rPr>
          <w:b/>
          <w:bCs/>
          <w:sz w:val="22"/>
          <w:szCs w:val="22"/>
        </w:rPr>
        <w:t xml:space="preserve">4. What are the different types of share class that currently exist? </w:t>
      </w:r>
    </w:p>
    <w:p w:rsidR="00A8546D" w:rsidRPr="007C1E54" w:rsidRDefault="00A8546D" w:rsidP="00C95ECD">
      <w:pPr>
        <w:pStyle w:val="Default"/>
        <w:spacing w:after="302"/>
        <w:jc w:val="both"/>
        <w:rPr>
          <w:sz w:val="22"/>
          <w:szCs w:val="22"/>
        </w:rPr>
      </w:pPr>
      <w:r w:rsidRPr="007C1E54">
        <w:rPr>
          <w:bCs/>
          <w:sz w:val="22"/>
          <w:szCs w:val="22"/>
        </w:rPr>
        <w:t xml:space="preserve">Amundi </w:t>
      </w:r>
      <w:r>
        <w:rPr>
          <w:bCs/>
          <w:sz w:val="22"/>
          <w:szCs w:val="22"/>
        </w:rPr>
        <w:t>will refer on that point on the list provided by A</w:t>
      </w:r>
      <w:r w:rsidR="00C95ECD">
        <w:rPr>
          <w:bCs/>
          <w:sz w:val="22"/>
          <w:szCs w:val="22"/>
        </w:rPr>
        <w:t xml:space="preserve">ssociation </w:t>
      </w:r>
      <w:proofErr w:type="spellStart"/>
      <w:r w:rsidR="00741C28">
        <w:rPr>
          <w:bCs/>
          <w:sz w:val="22"/>
          <w:szCs w:val="22"/>
        </w:rPr>
        <w:t>F</w:t>
      </w:r>
      <w:r w:rsidR="00C95ECD">
        <w:rPr>
          <w:bCs/>
          <w:sz w:val="22"/>
          <w:szCs w:val="22"/>
        </w:rPr>
        <w:t>rançaise</w:t>
      </w:r>
      <w:proofErr w:type="spellEnd"/>
      <w:r w:rsidR="00C95ECD">
        <w:rPr>
          <w:bCs/>
          <w:sz w:val="22"/>
          <w:szCs w:val="22"/>
        </w:rPr>
        <w:t xml:space="preserve"> de </w:t>
      </w:r>
      <w:proofErr w:type="spellStart"/>
      <w:r w:rsidR="00741C28">
        <w:rPr>
          <w:bCs/>
          <w:sz w:val="22"/>
          <w:szCs w:val="22"/>
        </w:rPr>
        <w:t>G</w:t>
      </w:r>
      <w:r w:rsidR="00C95ECD">
        <w:rPr>
          <w:bCs/>
          <w:sz w:val="22"/>
          <w:szCs w:val="22"/>
        </w:rPr>
        <w:t>estion</w:t>
      </w:r>
      <w:proofErr w:type="spellEnd"/>
      <w:r w:rsidR="00C95ECD">
        <w:rPr>
          <w:bCs/>
          <w:sz w:val="22"/>
          <w:szCs w:val="22"/>
        </w:rPr>
        <w:t xml:space="preserve"> (AFG)</w:t>
      </w:r>
      <w:r w:rsidR="00741C28">
        <w:rPr>
          <w:bCs/>
          <w:sz w:val="22"/>
          <w:szCs w:val="22"/>
        </w:rPr>
        <w:t xml:space="preserve"> in its answer to the present </w:t>
      </w:r>
      <w:r>
        <w:rPr>
          <w:bCs/>
          <w:sz w:val="22"/>
          <w:szCs w:val="22"/>
        </w:rPr>
        <w:t>consultation.</w:t>
      </w:r>
    </w:p>
    <w:p w:rsidR="00A8546D" w:rsidRDefault="00A8546D" w:rsidP="00A8546D">
      <w:pPr>
        <w:pStyle w:val="Default"/>
        <w:spacing w:after="302"/>
        <w:rPr>
          <w:b/>
          <w:bCs/>
          <w:sz w:val="22"/>
          <w:szCs w:val="22"/>
        </w:rPr>
      </w:pPr>
      <w:r>
        <w:rPr>
          <w:b/>
          <w:bCs/>
          <w:sz w:val="22"/>
          <w:szCs w:val="22"/>
        </w:rPr>
        <w:t xml:space="preserve">5. How would you define a share class? </w:t>
      </w:r>
    </w:p>
    <w:p w:rsidR="00A8546D" w:rsidRPr="00FA63E1" w:rsidRDefault="00A8546D" w:rsidP="00A8546D">
      <w:pPr>
        <w:pStyle w:val="Default"/>
        <w:spacing w:after="302"/>
        <w:jc w:val="both"/>
        <w:rPr>
          <w:sz w:val="22"/>
          <w:szCs w:val="22"/>
        </w:rPr>
      </w:pPr>
      <w:r w:rsidRPr="00FA63E1">
        <w:rPr>
          <w:bCs/>
          <w:sz w:val="22"/>
          <w:szCs w:val="22"/>
        </w:rPr>
        <w:t xml:space="preserve">A share class </w:t>
      </w:r>
      <w:r>
        <w:rPr>
          <w:bCs/>
          <w:sz w:val="22"/>
          <w:szCs w:val="22"/>
        </w:rPr>
        <w:t>gives a differentiated access to a portfolio that is common to all shares. Each class presents a specific technical feature that relates to marketing segmentation of clients or risk exposure that they look for.</w:t>
      </w:r>
    </w:p>
    <w:p w:rsidR="00A8546D" w:rsidRDefault="00A8546D" w:rsidP="00A8546D">
      <w:pPr>
        <w:pStyle w:val="Default"/>
        <w:rPr>
          <w:sz w:val="22"/>
          <w:szCs w:val="22"/>
        </w:rPr>
      </w:pPr>
      <w:r>
        <w:rPr>
          <w:b/>
          <w:bCs/>
          <w:sz w:val="22"/>
          <w:szCs w:val="22"/>
        </w:rPr>
        <w:t xml:space="preserve">6. Do you agree that share classes of the same UCITS should all share the same investment strategy? If not, please justify your position. </w:t>
      </w:r>
    </w:p>
    <w:p w:rsidR="00A8546D" w:rsidRDefault="00A8546D" w:rsidP="00A8546D">
      <w:pPr>
        <w:pStyle w:val="Default"/>
        <w:rPr>
          <w:sz w:val="22"/>
          <w:szCs w:val="22"/>
        </w:rPr>
      </w:pPr>
    </w:p>
    <w:p w:rsidR="00A8546D" w:rsidRDefault="00A8546D" w:rsidP="00A8546D">
      <w:pPr>
        <w:pStyle w:val="Default"/>
        <w:spacing w:after="120"/>
        <w:jc w:val="both"/>
        <w:rPr>
          <w:sz w:val="22"/>
          <w:szCs w:val="22"/>
        </w:rPr>
      </w:pPr>
      <w:r>
        <w:rPr>
          <w:sz w:val="22"/>
          <w:szCs w:val="22"/>
        </w:rPr>
        <w:t>Sharing the same portfolio (that may include derivatives</w:t>
      </w:r>
      <w:r w:rsidR="00A5403D">
        <w:rPr>
          <w:sz w:val="22"/>
          <w:szCs w:val="22"/>
        </w:rPr>
        <w:t xml:space="preserve"> both listed or OTC</w:t>
      </w:r>
      <w:r>
        <w:rPr>
          <w:sz w:val="22"/>
          <w:szCs w:val="22"/>
        </w:rPr>
        <w:t xml:space="preserve">), all classes have a basic common investment strategy. In that respect Amundi </w:t>
      </w:r>
      <w:r w:rsidR="00A5403D">
        <w:rPr>
          <w:sz w:val="22"/>
          <w:szCs w:val="22"/>
        </w:rPr>
        <w:t>agrees</w:t>
      </w:r>
      <w:r>
        <w:rPr>
          <w:sz w:val="22"/>
          <w:szCs w:val="22"/>
        </w:rPr>
        <w:t xml:space="preserve"> that it is not possible to offer through different share classes exposure to totally different market risks resulting from a total return swap specific to each share class.</w:t>
      </w:r>
    </w:p>
    <w:p w:rsidR="00A8546D" w:rsidRDefault="00A8546D" w:rsidP="00A8546D">
      <w:pPr>
        <w:pStyle w:val="Default"/>
        <w:jc w:val="both"/>
        <w:rPr>
          <w:color w:val="auto"/>
          <w:sz w:val="22"/>
          <w:szCs w:val="22"/>
        </w:rPr>
      </w:pPr>
      <w:r>
        <w:rPr>
          <w:sz w:val="22"/>
          <w:szCs w:val="22"/>
        </w:rPr>
        <w:t xml:space="preserve">However, different share classes may offer different levels of exposure to the common investment strategy resulting from the common portfolio: some classes may hedge one or several risks, others may reduce or increase the exposure to the global strategy, and some </w:t>
      </w:r>
      <w:r>
        <w:rPr>
          <w:sz w:val="22"/>
          <w:szCs w:val="22"/>
        </w:rPr>
        <w:lastRenderedPageBreak/>
        <w:t xml:space="preserve">others may transform risk within the class of assets, </w:t>
      </w:r>
      <w:r w:rsidR="00A5403D">
        <w:rPr>
          <w:sz w:val="22"/>
          <w:szCs w:val="22"/>
        </w:rPr>
        <w:t>e.g.</w:t>
      </w:r>
      <w:r>
        <w:rPr>
          <w:sz w:val="22"/>
          <w:szCs w:val="22"/>
        </w:rPr>
        <w:t xml:space="preserve"> change the exposure to the currency risk</w:t>
      </w:r>
      <w:r w:rsidR="00A5403D">
        <w:rPr>
          <w:sz w:val="22"/>
          <w:szCs w:val="22"/>
        </w:rPr>
        <w:t xml:space="preserve"> eventually by the addition of a new layer of risk</w:t>
      </w:r>
      <w:r w:rsidRPr="003B59CE">
        <w:rPr>
          <w:color w:val="auto"/>
          <w:sz w:val="22"/>
          <w:szCs w:val="22"/>
        </w:rPr>
        <w:t>.</w:t>
      </w:r>
    </w:p>
    <w:p w:rsidR="00A8546D" w:rsidRPr="003B59CE" w:rsidRDefault="00A8546D" w:rsidP="00A8546D">
      <w:pPr>
        <w:pStyle w:val="Default"/>
        <w:jc w:val="both"/>
        <w:rPr>
          <w:color w:val="FF0000"/>
          <w:sz w:val="12"/>
          <w:szCs w:val="12"/>
        </w:rPr>
      </w:pPr>
      <w:r w:rsidRPr="003B59CE">
        <w:rPr>
          <w:color w:val="auto"/>
          <w:sz w:val="22"/>
          <w:szCs w:val="22"/>
        </w:rPr>
        <w:t xml:space="preserve">  </w:t>
      </w:r>
    </w:p>
    <w:p w:rsidR="00A8546D" w:rsidRPr="001D583C" w:rsidRDefault="00A8546D" w:rsidP="00A8546D">
      <w:pPr>
        <w:pStyle w:val="Default"/>
        <w:spacing w:after="120"/>
        <w:jc w:val="both"/>
        <w:rPr>
          <w:color w:val="auto"/>
          <w:sz w:val="22"/>
          <w:szCs w:val="22"/>
        </w:rPr>
      </w:pPr>
      <w:r w:rsidRPr="001D583C">
        <w:rPr>
          <w:color w:val="auto"/>
          <w:sz w:val="22"/>
          <w:szCs w:val="22"/>
        </w:rPr>
        <w:t>As a consequence</w:t>
      </w:r>
      <w:r>
        <w:rPr>
          <w:color w:val="auto"/>
          <w:sz w:val="22"/>
          <w:szCs w:val="22"/>
        </w:rPr>
        <w:t>,</w:t>
      </w:r>
      <w:r w:rsidRPr="001D583C">
        <w:rPr>
          <w:color w:val="auto"/>
          <w:sz w:val="22"/>
          <w:szCs w:val="22"/>
        </w:rPr>
        <w:t xml:space="preserve"> </w:t>
      </w:r>
      <w:r>
        <w:rPr>
          <w:color w:val="auto"/>
          <w:sz w:val="22"/>
          <w:szCs w:val="22"/>
        </w:rPr>
        <w:t xml:space="preserve">different share classes may have different risk profiles and that will show in the SRRI published in the KID which should be adapted to each class. </w:t>
      </w:r>
      <w:r w:rsidR="00A5403D">
        <w:rPr>
          <w:color w:val="auto"/>
          <w:sz w:val="22"/>
          <w:szCs w:val="22"/>
        </w:rPr>
        <w:t>Same investment strategy does not mean identical SRRI or KID.</w:t>
      </w:r>
    </w:p>
    <w:p w:rsidR="00A8546D" w:rsidRDefault="00A8546D" w:rsidP="00A8546D">
      <w:pPr>
        <w:pStyle w:val="Default"/>
        <w:jc w:val="both"/>
        <w:rPr>
          <w:color w:val="auto"/>
          <w:sz w:val="22"/>
          <w:szCs w:val="22"/>
        </w:rPr>
      </w:pPr>
      <w:r>
        <w:rPr>
          <w:color w:val="auto"/>
          <w:sz w:val="22"/>
          <w:szCs w:val="22"/>
        </w:rPr>
        <w:t xml:space="preserve">To summarize, Amundi considers that all share classes have a common investment strategy resulting from the common portfolio and that they differ by either a technical standard not impacting the financials or a specific overlay that complements the common strategy and offers diversified options to access it.  </w:t>
      </w:r>
    </w:p>
    <w:p w:rsidR="00A8546D" w:rsidRPr="001D583C" w:rsidRDefault="00A8546D" w:rsidP="00A8546D">
      <w:pPr>
        <w:pStyle w:val="Default"/>
        <w:rPr>
          <w:color w:val="auto"/>
          <w:sz w:val="22"/>
          <w:szCs w:val="22"/>
        </w:rPr>
      </w:pPr>
    </w:p>
    <w:p w:rsidR="00A8546D" w:rsidRDefault="00A8546D" w:rsidP="00A8546D">
      <w:pPr>
        <w:pStyle w:val="Default"/>
        <w:spacing w:after="305"/>
        <w:rPr>
          <w:b/>
          <w:bCs/>
          <w:color w:val="auto"/>
          <w:sz w:val="22"/>
          <w:szCs w:val="22"/>
        </w:rPr>
      </w:pPr>
      <w:r>
        <w:rPr>
          <w:b/>
          <w:bCs/>
          <w:color w:val="auto"/>
          <w:sz w:val="22"/>
          <w:szCs w:val="22"/>
        </w:rPr>
        <w:t xml:space="preserve">7. Could you explain how the operational segregation between share classes works in practice? </w:t>
      </w:r>
    </w:p>
    <w:p w:rsidR="00A8546D" w:rsidRDefault="00A8546D" w:rsidP="00A8546D">
      <w:pPr>
        <w:pStyle w:val="Default"/>
        <w:spacing w:after="305"/>
        <w:jc w:val="both"/>
        <w:rPr>
          <w:bCs/>
          <w:color w:val="auto"/>
          <w:sz w:val="22"/>
          <w:szCs w:val="22"/>
        </w:rPr>
      </w:pPr>
      <w:r>
        <w:rPr>
          <w:bCs/>
          <w:color w:val="auto"/>
          <w:sz w:val="22"/>
          <w:szCs w:val="22"/>
        </w:rPr>
        <w:t xml:space="preserve">Legally, share classes are not segregated: they all belong to the same fund which is the recognized separate and segregated entity. Operationally, segregation is </w:t>
      </w:r>
      <w:r w:rsidR="00EB6034">
        <w:rPr>
          <w:bCs/>
          <w:color w:val="auto"/>
          <w:sz w:val="22"/>
          <w:szCs w:val="22"/>
        </w:rPr>
        <w:t>enforced</w:t>
      </w:r>
      <w:r>
        <w:rPr>
          <w:bCs/>
          <w:color w:val="auto"/>
          <w:sz w:val="22"/>
          <w:szCs w:val="22"/>
        </w:rPr>
        <w:t xml:space="preserve"> at different levels. Firstly, in the accounting of share classes with the result of derivative positions being exclusively affected to the concerned share class or fee being computed at differe</w:t>
      </w:r>
      <w:r w:rsidR="00102898">
        <w:rPr>
          <w:bCs/>
          <w:color w:val="auto"/>
          <w:sz w:val="22"/>
          <w:szCs w:val="22"/>
        </w:rPr>
        <w:t xml:space="preserve">nt levels for different classes. </w:t>
      </w:r>
      <w:r w:rsidRPr="00780262">
        <w:rPr>
          <w:bCs/>
          <w:color w:val="auto"/>
          <w:sz w:val="22"/>
          <w:szCs w:val="22"/>
        </w:rPr>
        <w:t>Secondly, in the risk management, where</w:t>
      </w:r>
      <w:r w:rsidR="00A5403D" w:rsidRPr="00780262">
        <w:rPr>
          <w:bCs/>
          <w:color w:val="auto"/>
          <w:sz w:val="22"/>
          <w:szCs w:val="22"/>
        </w:rPr>
        <w:t xml:space="preserve"> </w:t>
      </w:r>
      <w:r w:rsidR="00EB6034" w:rsidRPr="00780262">
        <w:rPr>
          <w:bCs/>
          <w:color w:val="auto"/>
          <w:sz w:val="22"/>
          <w:szCs w:val="22"/>
        </w:rPr>
        <w:t>significant risk factors will be monitored at the</w:t>
      </w:r>
      <w:r w:rsidR="00A5403D" w:rsidRPr="00780262">
        <w:rPr>
          <w:bCs/>
          <w:color w:val="auto"/>
          <w:sz w:val="22"/>
          <w:szCs w:val="22"/>
        </w:rPr>
        <w:t xml:space="preserve"> level </w:t>
      </w:r>
      <w:r w:rsidR="00EB6034" w:rsidRPr="00780262">
        <w:rPr>
          <w:bCs/>
          <w:color w:val="auto"/>
          <w:sz w:val="22"/>
          <w:szCs w:val="22"/>
        </w:rPr>
        <w:t xml:space="preserve">of the </w:t>
      </w:r>
      <w:r w:rsidRPr="00780262">
        <w:rPr>
          <w:bCs/>
          <w:color w:val="auto"/>
          <w:sz w:val="22"/>
          <w:szCs w:val="22"/>
        </w:rPr>
        <w:t xml:space="preserve">share class </w:t>
      </w:r>
      <w:r w:rsidR="00EB6034" w:rsidRPr="00780262">
        <w:rPr>
          <w:bCs/>
          <w:color w:val="auto"/>
          <w:sz w:val="22"/>
          <w:szCs w:val="22"/>
        </w:rPr>
        <w:t>in a proportionate manner</w:t>
      </w:r>
      <w:r w:rsidRPr="00780262">
        <w:rPr>
          <w:bCs/>
          <w:color w:val="auto"/>
          <w:sz w:val="22"/>
          <w:szCs w:val="22"/>
        </w:rPr>
        <w:t>.</w:t>
      </w:r>
      <w:r w:rsidR="00EB6034" w:rsidRPr="00780262">
        <w:rPr>
          <w:bCs/>
          <w:color w:val="auto"/>
          <w:sz w:val="22"/>
          <w:szCs w:val="22"/>
        </w:rPr>
        <w:t xml:space="preserve"> As mentioned in our answer to question 12 below, we think that counterparty risk can be followed at the level of each share class and that only for those classes that increase the exposure to risk a specific monitoring of other risk factors should be introduced.</w:t>
      </w:r>
      <w:r w:rsidRPr="00780262">
        <w:rPr>
          <w:bCs/>
          <w:color w:val="auto"/>
          <w:sz w:val="22"/>
          <w:szCs w:val="22"/>
        </w:rPr>
        <w:t xml:space="preserve"> Thirdly, as a consequence the audit, internal and/or external, will also carry controls at both levels to have a fair view of the different share classes. Fourthly, reporting has to take into consideration the specificities of each share class to communicate relevant information to clients.</w:t>
      </w:r>
    </w:p>
    <w:p w:rsidR="00EB6034" w:rsidRPr="00BC79C2" w:rsidRDefault="00EB6034" w:rsidP="00A8546D">
      <w:pPr>
        <w:pStyle w:val="Default"/>
        <w:spacing w:after="305"/>
        <w:jc w:val="both"/>
        <w:rPr>
          <w:color w:val="auto"/>
          <w:sz w:val="22"/>
          <w:szCs w:val="22"/>
        </w:rPr>
      </w:pPr>
      <w:r>
        <w:rPr>
          <w:bCs/>
          <w:color w:val="auto"/>
          <w:sz w:val="22"/>
          <w:szCs w:val="22"/>
        </w:rPr>
        <w:t xml:space="preserve">As a consequence we suggest that ESMA further comments the second principle in §6 in order to make clear that the objective is to reach a comfort that appropriate steps have been taken to ensure that </w:t>
      </w:r>
      <w:r w:rsidR="00225865">
        <w:rPr>
          <w:bCs/>
          <w:color w:val="auto"/>
          <w:sz w:val="22"/>
          <w:szCs w:val="22"/>
        </w:rPr>
        <w:t>“spill over” effect is highly unlikely. There is no zero risk in that field as there is no legal segregation. The proper approach consists in introducing proportionate procedures of risk management : for those share classes that reduce risk through hedging the monitoring of the counterparty risk appears to be both necessary and sufficient, for other classes that increase risk exposure adequate measures should be decided by the asset manager under the NCA’s supervision.</w:t>
      </w:r>
    </w:p>
    <w:p w:rsidR="00A8546D" w:rsidRDefault="00A8546D" w:rsidP="00A8546D">
      <w:pPr>
        <w:pStyle w:val="Default"/>
        <w:spacing w:after="305"/>
        <w:rPr>
          <w:b/>
          <w:bCs/>
          <w:color w:val="auto"/>
          <w:sz w:val="22"/>
          <w:szCs w:val="22"/>
        </w:rPr>
      </w:pPr>
      <w:r>
        <w:rPr>
          <w:b/>
          <w:bCs/>
          <w:color w:val="auto"/>
          <w:sz w:val="22"/>
          <w:szCs w:val="22"/>
        </w:rPr>
        <w:t xml:space="preserve">8. Do you agree that the types of share class set out in paragraph 8 are compatible with the principle of having the same investment strategy? In particular do you agree that currency hedging that is described in paragraph 8 complies with that principle? If not, please justify your position. </w:t>
      </w:r>
    </w:p>
    <w:p w:rsidR="00A8546D" w:rsidRDefault="00A8546D" w:rsidP="00A8546D">
      <w:pPr>
        <w:pStyle w:val="Default"/>
        <w:spacing w:after="120"/>
        <w:jc w:val="both"/>
        <w:rPr>
          <w:bCs/>
          <w:color w:val="auto"/>
          <w:sz w:val="22"/>
          <w:szCs w:val="22"/>
        </w:rPr>
      </w:pPr>
      <w:r>
        <w:rPr>
          <w:bCs/>
          <w:color w:val="auto"/>
          <w:sz w:val="22"/>
          <w:szCs w:val="22"/>
        </w:rPr>
        <w:t xml:space="preserve">Yes, Amundi agrees that the 8 examples of share classes listed in § 8 are compliant with principles expressed in § 6 and specifically the “same investment strategy” requirement. As a matter of fact 7 of these 8 examples consist of share classes with no direct influence on the market risk and refer to technicalities such as minimum or nominal amount, fees, allocation of revenues, type of client, voting right, form of detention and currency of denomination. The only </w:t>
      </w:r>
      <w:r>
        <w:rPr>
          <w:bCs/>
          <w:color w:val="auto"/>
          <w:sz w:val="22"/>
          <w:szCs w:val="22"/>
        </w:rPr>
        <w:lastRenderedPageBreak/>
        <w:t>case that implies specific financial management (as</w:t>
      </w:r>
      <w:bookmarkStart w:id="15" w:name="_GoBack"/>
      <w:bookmarkEnd w:id="15"/>
      <w:r>
        <w:rPr>
          <w:bCs/>
          <w:color w:val="auto"/>
          <w:sz w:val="22"/>
          <w:szCs w:val="22"/>
        </w:rPr>
        <w:t xml:space="preserve"> opposed to accounting, legal or administrative work) is the currency hedging. </w:t>
      </w:r>
    </w:p>
    <w:p w:rsidR="00A8546D" w:rsidRDefault="00A8546D" w:rsidP="00A8546D">
      <w:pPr>
        <w:pStyle w:val="Default"/>
        <w:spacing w:after="120"/>
        <w:jc w:val="both"/>
        <w:rPr>
          <w:bCs/>
          <w:color w:val="auto"/>
          <w:sz w:val="22"/>
          <w:szCs w:val="22"/>
        </w:rPr>
      </w:pPr>
      <w:r>
        <w:rPr>
          <w:bCs/>
          <w:color w:val="auto"/>
          <w:sz w:val="22"/>
          <w:szCs w:val="22"/>
        </w:rPr>
        <w:t xml:space="preserve">We consider that the standard practice of creating share classes with or without currency hedging is totally legitimate as soon as the portfolio will include assets not denominated in the same currency as the fund. An internationally diversified fund will typically offer share classes denominated in €, £, $, JPY and CHF and for each currency offer currency hedged or not hedged classes. When the portfolio is totally invested in one single currency there will not be any hedged class for that currency. If it is what currency hedging as described in § 8 </w:t>
      </w:r>
      <w:r w:rsidR="00225865">
        <w:rPr>
          <w:bCs/>
          <w:color w:val="auto"/>
          <w:sz w:val="22"/>
          <w:szCs w:val="22"/>
        </w:rPr>
        <w:t xml:space="preserve">is, </w:t>
      </w:r>
      <w:r>
        <w:rPr>
          <w:bCs/>
          <w:color w:val="auto"/>
          <w:sz w:val="22"/>
          <w:szCs w:val="22"/>
        </w:rPr>
        <w:t>we totally agree.</w:t>
      </w:r>
    </w:p>
    <w:p w:rsidR="00A8546D" w:rsidRDefault="00A8546D" w:rsidP="00A8546D">
      <w:pPr>
        <w:pStyle w:val="Default"/>
        <w:spacing w:after="305"/>
        <w:jc w:val="both"/>
        <w:rPr>
          <w:bCs/>
          <w:color w:val="auto"/>
          <w:sz w:val="22"/>
          <w:szCs w:val="22"/>
        </w:rPr>
      </w:pPr>
      <w:r>
        <w:rPr>
          <w:bCs/>
          <w:color w:val="auto"/>
          <w:sz w:val="22"/>
          <w:szCs w:val="22"/>
        </w:rPr>
        <w:t>However, we strongly oppose the idea that it should be the only type of hedging or that there should not be room for any other type of overlay in a specific share class.</w:t>
      </w:r>
    </w:p>
    <w:p w:rsidR="00A8546D" w:rsidRDefault="00A8546D" w:rsidP="00A8546D">
      <w:pPr>
        <w:pStyle w:val="Default"/>
        <w:spacing w:after="305"/>
        <w:rPr>
          <w:b/>
          <w:bCs/>
          <w:color w:val="auto"/>
          <w:sz w:val="22"/>
          <w:szCs w:val="22"/>
        </w:rPr>
      </w:pPr>
      <w:r>
        <w:rPr>
          <w:b/>
          <w:bCs/>
          <w:color w:val="auto"/>
          <w:sz w:val="22"/>
          <w:szCs w:val="22"/>
        </w:rPr>
        <w:t xml:space="preserve">9. Do you believe that other types of share class that comply with the principle of having the same investment strategy exist (or could exist) and should be allowed? If yes, please give examples. </w:t>
      </w:r>
    </w:p>
    <w:p w:rsidR="00A8546D" w:rsidRDefault="00A8546D" w:rsidP="00A8546D">
      <w:pPr>
        <w:pStyle w:val="Default"/>
        <w:spacing w:after="120"/>
        <w:jc w:val="both"/>
        <w:rPr>
          <w:bCs/>
          <w:color w:val="auto"/>
          <w:sz w:val="22"/>
          <w:szCs w:val="22"/>
        </w:rPr>
      </w:pPr>
      <w:r>
        <w:rPr>
          <w:bCs/>
          <w:color w:val="auto"/>
          <w:sz w:val="22"/>
          <w:szCs w:val="22"/>
        </w:rPr>
        <w:t>Yes, Amundi considers that the list provided in § 8 is largely insufficient to cover the scope of all types of share classes that (</w:t>
      </w:r>
      <w:proofErr w:type="spellStart"/>
      <w:r>
        <w:rPr>
          <w:bCs/>
          <w:color w:val="auto"/>
          <w:sz w:val="22"/>
          <w:szCs w:val="22"/>
        </w:rPr>
        <w:t>i</w:t>
      </w:r>
      <w:proofErr w:type="spellEnd"/>
      <w:r>
        <w:rPr>
          <w:bCs/>
          <w:color w:val="auto"/>
          <w:sz w:val="22"/>
          <w:szCs w:val="22"/>
        </w:rPr>
        <w:t xml:space="preserve">) are acceptable and useful or (ii) compliant with § 6. </w:t>
      </w:r>
    </w:p>
    <w:p w:rsidR="00A8546D" w:rsidRDefault="00A8546D" w:rsidP="00A8546D">
      <w:pPr>
        <w:pStyle w:val="Default"/>
        <w:spacing w:after="305"/>
        <w:jc w:val="both"/>
        <w:rPr>
          <w:bCs/>
          <w:color w:val="auto"/>
          <w:sz w:val="22"/>
          <w:szCs w:val="22"/>
        </w:rPr>
      </w:pPr>
      <w:r>
        <w:rPr>
          <w:bCs/>
          <w:color w:val="auto"/>
          <w:sz w:val="22"/>
          <w:szCs w:val="22"/>
        </w:rPr>
        <w:t xml:space="preserve">First, this question as it is asked implies that there is no ambiguity on what represents a “same investment strategy”. Amundi is very concerned that ESMA has not discussed this concept. We have described our comprehension of “same investment strategy” when answering question 6: if they share a common portfolio share classes may have a specific overlay on one or several risk factors. We may rely on the mention of currency hedging in § 8 to feel confident that this view is also ESMA’s view. However, we have strong interrogations when we read that for example ESMA includes in § 10 “share classes that offer differing degrees of protection against some market risk such as interest rate risk or volatility risk” among those that do not appear to be compatible with the principles of § 6. It appears to be inconsistent to accept the hedging of currency risk (which is far more volatile and, hence, operationally risky) and ban the hedging of any other market risk. Since what seems obvious to us (i.e. interest rate hedging is as compliant as currency hedging) we really fear that we can misunderstand ESMA’s conception of “same investment strategy” </w:t>
      </w:r>
      <w:r w:rsidR="00225865">
        <w:rPr>
          <w:bCs/>
          <w:color w:val="auto"/>
          <w:sz w:val="22"/>
          <w:szCs w:val="22"/>
        </w:rPr>
        <w:t>which</w:t>
      </w:r>
      <w:r>
        <w:rPr>
          <w:bCs/>
          <w:color w:val="auto"/>
          <w:sz w:val="22"/>
          <w:szCs w:val="22"/>
        </w:rPr>
        <w:t xml:space="preserve"> is not clearly defined. </w:t>
      </w:r>
    </w:p>
    <w:p w:rsidR="00A8546D" w:rsidRDefault="00A8546D" w:rsidP="00A8546D">
      <w:pPr>
        <w:pStyle w:val="Default"/>
        <w:spacing w:after="120"/>
        <w:jc w:val="both"/>
        <w:rPr>
          <w:bCs/>
          <w:color w:val="auto"/>
          <w:sz w:val="22"/>
          <w:szCs w:val="22"/>
        </w:rPr>
      </w:pPr>
      <w:r>
        <w:rPr>
          <w:bCs/>
          <w:color w:val="auto"/>
          <w:sz w:val="22"/>
          <w:szCs w:val="22"/>
        </w:rPr>
        <w:t>To continue, here follows a list of share classes that Amundi considers as totally justified under the principle of same investment strategy</w:t>
      </w:r>
      <w:r w:rsidR="000D2CAD">
        <w:rPr>
          <w:bCs/>
          <w:color w:val="auto"/>
          <w:sz w:val="22"/>
          <w:szCs w:val="22"/>
        </w:rPr>
        <w:t xml:space="preserve"> provided that transparent information is communicated to investors </w:t>
      </w:r>
      <w:r>
        <w:rPr>
          <w:bCs/>
          <w:color w:val="auto"/>
          <w:sz w:val="22"/>
          <w:szCs w:val="22"/>
        </w:rPr>
        <w:t>:</w:t>
      </w:r>
    </w:p>
    <w:p w:rsidR="00A8546D" w:rsidRDefault="00A8546D" w:rsidP="00A8546D">
      <w:pPr>
        <w:pStyle w:val="Default"/>
        <w:numPr>
          <w:ilvl w:val="0"/>
          <w:numId w:val="1"/>
        </w:numPr>
        <w:spacing w:after="120"/>
        <w:jc w:val="both"/>
        <w:rPr>
          <w:bCs/>
          <w:color w:val="auto"/>
          <w:sz w:val="22"/>
          <w:szCs w:val="22"/>
        </w:rPr>
      </w:pPr>
      <w:r>
        <w:rPr>
          <w:bCs/>
          <w:color w:val="auto"/>
          <w:sz w:val="22"/>
          <w:szCs w:val="22"/>
        </w:rPr>
        <w:t>Share classes that offer differing degree of exposure to one or several risk factors incurred by the common investment strategy; this should include all types of risk factors : interest rates, currency, equity,  inflation, credit…;</w:t>
      </w:r>
    </w:p>
    <w:p w:rsidR="00A8546D" w:rsidRPr="002757E8" w:rsidRDefault="00A8546D" w:rsidP="00A8546D">
      <w:pPr>
        <w:pStyle w:val="Default"/>
        <w:numPr>
          <w:ilvl w:val="0"/>
          <w:numId w:val="1"/>
        </w:numPr>
        <w:spacing w:after="120"/>
        <w:jc w:val="both"/>
        <w:rPr>
          <w:bCs/>
          <w:color w:val="auto"/>
          <w:sz w:val="22"/>
          <w:szCs w:val="22"/>
        </w:rPr>
      </w:pPr>
      <w:r>
        <w:rPr>
          <w:bCs/>
          <w:color w:val="auto"/>
          <w:sz w:val="22"/>
          <w:szCs w:val="22"/>
        </w:rPr>
        <w:t>Share classes that offer different level of capital protection and/or pay-off for the same common investment strategy</w:t>
      </w:r>
      <w:r w:rsidRPr="002757E8">
        <w:rPr>
          <w:bCs/>
          <w:color w:val="auto"/>
          <w:sz w:val="22"/>
          <w:szCs w:val="22"/>
        </w:rPr>
        <w:t>; the question of leveraged classes is to be considered with a focus on ris</w:t>
      </w:r>
      <w:r>
        <w:rPr>
          <w:bCs/>
          <w:color w:val="auto"/>
          <w:sz w:val="22"/>
          <w:szCs w:val="22"/>
        </w:rPr>
        <w:t xml:space="preserve">k that it would introduce and </w:t>
      </w:r>
      <w:r w:rsidR="00225865">
        <w:rPr>
          <w:bCs/>
          <w:color w:val="auto"/>
          <w:sz w:val="22"/>
          <w:szCs w:val="22"/>
        </w:rPr>
        <w:t xml:space="preserve">is </w:t>
      </w:r>
      <w:r w:rsidRPr="002757E8">
        <w:rPr>
          <w:bCs/>
          <w:color w:val="auto"/>
          <w:sz w:val="22"/>
          <w:szCs w:val="22"/>
        </w:rPr>
        <w:t xml:space="preserve">compliant in terms of “same strategy”; </w:t>
      </w:r>
    </w:p>
    <w:p w:rsidR="00A8546D" w:rsidRPr="000D2CAD" w:rsidRDefault="00A8546D" w:rsidP="00A8546D">
      <w:pPr>
        <w:pStyle w:val="Default"/>
        <w:numPr>
          <w:ilvl w:val="0"/>
          <w:numId w:val="1"/>
        </w:numPr>
        <w:spacing w:after="120"/>
        <w:jc w:val="both"/>
        <w:rPr>
          <w:bCs/>
          <w:color w:val="auto"/>
          <w:sz w:val="22"/>
          <w:szCs w:val="22"/>
        </w:rPr>
      </w:pPr>
      <w:r w:rsidRPr="000D2CAD">
        <w:rPr>
          <w:bCs/>
          <w:color w:val="auto"/>
          <w:sz w:val="22"/>
          <w:szCs w:val="22"/>
        </w:rPr>
        <w:t>Share classes that offer an active management of a risk factor that is included in the common investment strategy should be eligible even if they increase the exposure to that risk factor.</w:t>
      </w:r>
    </w:p>
    <w:p w:rsidR="000D2CAD" w:rsidRDefault="00A8546D" w:rsidP="00A8546D">
      <w:pPr>
        <w:pStyle w:val="Default"/>
        <w:spacing w:after="305"/>
        <w:jc w:val="both"/>
        <w:rPr>
          <w:bCs/>
          <w:color w:val="auto"/>
          <w:sz w:val="22"/>
          <w:szCs w:val="22"/>
          <w:highlight w:val="yellow"/>
        </w:rPr>
      </w:pPr>
      <w:r w:rsidRPr="002757E8">
        <w:rPr>
          <w:bCs/>
          <w:color w:val="auto"/>
          <w:sz w:val="22"/>
          <w:szCs w:val="22"/>
        </w:rPr>
        <w:lastRenderedPageBreak/>
        <w:t>Amundi feels that ESMA should discuss the ways of implementing the overlay that a share class offers. It is of utmost importance to clarify what will be prime in the management : it must be the common portfolio and not the overlay. One step further, among the risks of the common strategy there should be a clear definition of objectives for exposure to the different risk factors that are not influenced by the proportional size of one class or another that would hedge that risk. In our view hedging should be systematic but could be partial or total provided that the prospectus gives all relevant inf</w:t>
      </w:r>
      <w:r w:rsidR="007F64B0">
        <w:rPr>
          <w:bCs/>
          <w:color w:val="auto"/>
          <w:sz w:val="22"/>
          <w:szCs w:val="22"/>
        </w:rPr>
        <w:t>ormation to subscribers</w:t>
      </w:r>
      <w:r w:rsidR="007F64B0" w:rsidRPr="000D2CAD">
        <w:rPr>
          <w:bCs/>
          <w:color w:val="auto"/>
          <w:sz w:val="22"/>
          <w:szCs w:val="22"/>
        </w:rPr>
        <w:t>.</w:t>
      </w:r>
      <w:r w:rsidR="000D2CAD" w:rsidRPr="000D2CAD">
        <w:rPr>
          <w:bCs/>
          <w:color w:val="auto"/>
          <w:sz w:val="22"/>
          <w:szCs w:val="22"/>
        </w:rPr>
        <w:t xml:space="preserve"> Systematic hedging does not prevent</w:t>
      </w:r>
      <w:r w:rsidR="007F64B0" w:rsidRPr="000D2CAD">
        <w:rPr>
          <w:bCs/>
          <w:color w:val="auto"/>
          <w:sz w:val="22"/>
          <w:szCs w:val="22"/>
        </w:rPr>
        <w:t xml:space="preserve"> </w:t>
      </w:r>
      <w:r w:rsidR="000D2CAD" w:rsidRPr="000D2CAD">
        <w:rPr>
          <w:bCs/>
          <w:color w:val="auto"/>
          <w:sz w:val="22"/>
          <w:szCs w:val="22"/>
        </w:rPr>
        <w:t xml:space="preserve">asset managers to take investment decision as to the type of instrument they will choose, the maturity, the strike price for options… Furthermore it does not mean that there will be some residual risk to take into account the operational constraints of market transactions. </w:t>
      </w:r>
    </w:p>
    <w:p w:rsidR="00A8546D" w:rsidRDefault="007F64B0" w:rsidP="00A8546D">
      <w:pPr>
        <w:pStyle w:val="Default"/>
        <w:spacing w:after="305"/>
        <w:jc w:val="both"/>
        <w:rPr>
          <w:bCs/>
          <w:color w:val="auto"/>
          <w:sz w:val="22"/>
          <w:szCs w:val="22"/>
        </w:rPr>
      </w:pPr>
      <w:r w:rsidRPr="000D2CAD">
        <w:rPr>
          <w:bCs/>
          <w:color w:val="auto"/>
          <w:sz w:val="22"/>
          <w:szCs w:val="22"/>
        </w:rPr>
        <w:t>Beside</w:t>
      </w:r>
      <w:r w:rsidR="00A8546D" w:rsidRPr="000D2CAD">
        <w:rPr>
          <w:bCs/>
          <w:color w:val="auto"/>
          <w:sz w:val="22"/>
          <w:szCs w:val="22"/>
        </w:rPr>
        <w:t xml:space="preserve"> hedging, some classes should be allowed to carry active management of one specific risk such as currency risk with the possibility for the manager to decide to hedge or not or to introduce a risk relating to a third currency which is not that of the portfolio nor of the fund. This should how</w:t>
      </w:r>
      <w:r w:rsidR="000D2CAD" w:rsidRPr="000D2CAD">
        <w:rPr>
          <w:bCs/>
          <w:color w:val="auto"/>
          <w:sz w:val="22"/>
          <w:szCs w:val="22"/>
        </w:rPr>
        <w:t>ever be restricted to cases where</w:t>
      </w:r>
      <w:r w:rsidR="00A8546D" w:rsidRPr="000D2CAD">
        <w:rPr>
          <w:bCs/>
          <w:color w:val="auto"/>
          <w:sz w:val="22"/>
          <w:szCs w:val="22"/>
        </w:rPr>
        <w:t xml:space="preserve"> such share classes do not pretend to hedge but clearly publish that they actively manage this risk and might bring an extra layer of risk.</w:t>
      </w:r>
      <w:r w:rsidRPr="000D2CAD">
        <w:rPr>
          <w:bCs/>
          <w:color w:val="auto"/>
          <w:sz w:val="22"/>
          <w:szCs w:val="22"/>
        </w:rPr>
        <w:t xml:space="preserve"> </w:t>
      </w:r>
      <w:r w:rsidR="000D2CAD" w:rsidRPr="000D2CAD">
        <w:rPr>
          <w:bCs/>
          <w:color w:val="auto"/>
          <w:sz w:val="22"/>
          <w:szCs w:val="22"/>
        </w:rPr>
        <w:t>In these</w:t>
      </w:r>
      <w:r w:rsidR="000D2CAD">
        <w:rPr>
          <w:bCs/>
          <w:color w:val="auto"/>
          <w:sz w:val="22"/>
          <w:szCs w:val="22"/>
        </w:rPr>
        <w:t xml:space="preserve"> instances Amundi considers that adequate procedures must be established to monitor the specific risk of the share class in a proportionate manner.</w:t>
      </w:r>
    </w:p>
    <w:p w:rsidR="00A8546D" w:rsidRDefault="00A8546D" w:rsidP="00A8546D">
      <w:pPr>
        <w:pStyle w:val="Default"/>
        <w:spacing w:after="305"/>
        <w:jc w:val="both"/>
        <w:rPr>
          <w:b/>
          <w:bCs/>
          <w:color w:val="auto"/>
          <w:sz w:val="22"/>
          <w:szCs w:val="22"/>
        </w:rPr>
      </w:pPr>
      <w:r>
        <w:rPr>
          <w:b/>
          <w:bCs/>
          <w:color w:val="auto"/>
          <w:sz w:val="22"/>
          <w:szCs w:val="22"/>
        </w:rPr>
        <w:t>10. Do you agree that the types of share class set out in paragraph 10 above do not comply with the principle of having the same investment strategy? If not, please justify your position.</w:t>
      </w:r>
    </w:p>
    <w:p w:rsidR="00A8546D" w:rsidRDefault="00A8546D" w:rsidP="00A8546D">
      <w:pPr>
        <w:pStyle w:val="Default"/>
        <w:spacing w:after="120"/>
        <w:jc w:val="both"/>
        <w:rPr>
          <w:bCs/>
          <w:color w:val="auto"/>
          <w:sz w:val="22"/>
          <w:szCs w:val="22"/>
        </w:rPr>
      </w:pPr>
      <w:r>
        <w:rPr>
          <w:bCs/>
          <w:color w:val="auto"/>
          <w:sz w:val="22"/>
          <w:szCs w:val="22"/>
        </w:rPr>
        <w:t xml:space="preserve">No, Amundi </w:t>
      </w:r>
      <w:r w:rsidRPr="001826A2">
        <w:rPr>
          <w:bCs/>
          <w:color w:val="auto"/>
          <w:sz w:val="22"/>
          <w:szCs w:val="22"/>
        </w:rPr>
        <w:t>does not agree</w:t>
      </w:r>
      <w:r>
        <w:rPr>
          <w:b/>
          <w:bCs/>
          <w:color w:val="auto"/>
          <w:sz w:val="22"/>
          <w:szCs w:val="22"/>
        </w:rPr>
        <w:t xml:space="preserve"> </w:t>
      </w:r>
      <w:r>
        <w:rPr>
          <w:bCs/>
          <w:color w:val="auto"/>
          <w:sz w:val="22"/>
          <w:szCs w:val="22"/>
        </w:rPr>
        <w:t>with the interpretation of “same investment strategy”</w:t>
      </w:r>
      <w:r w:rsidRPr="001826A2">
        <w:rPr>
          <w:b/>
          <w:bCs/>
          <w:color w:val="auto"/>
          <w:sz w:val="22"/>
          <w:szCs w:val="22"/>
        </w:rPr>
        <w:t xml:space="preserve"> </w:t>
      </w:r>
      <w:r w:rsidRPr="001826A2">
        <w:rPr>
          <w:bCs/>
          <w:color w:val="auto"/>
          <w:sz w:val="22"/>
          <w:szCs w:val="22"/>
        </w:rPr>
        <w:t>that ESMA</w:t>
      </w:r>
      <w:r>
        <w:rPr>
          <w:bCs/>
          <w:color w:val="auto"/>
          <w:sz w:val="22"/>
          <w:szCs w:val="22"/>
        </w:rPr>
        <w:t xml:space="preserve"> implicitly suggests by asking question 10 as it is formulated. We consider that ESMA should first concentrate on the definition and the limitations of what constitute a “same investment strategy” and not proceed exclusively by series of examples of what it would classify as complying  or not with the criterion of “same investment strategy” mentioned in § 6. </w:t>
      </w:r>
    </w:p>
    <w:p w:rsidR="00A8546D" w:rsidRPr="001826A2" w:rsidRDefault="00A8546D" w:rsidP="00A8546D">
      <w:pPr>
        <w:pStyle w:val="Default"/>
        <w:spacing w:after="305"/>
        <w:jc w:val="both"/>
        <w:rPr>
          <w:bCs/>
          <w:color w:val="auto"/>
          <w:sz w:val="22"/>
          <w:szCs w:val="22"/>
        </w:rPr>
      </w:pPr>
      <w:r>
        <w:rPr>
          <w:bCs/>
          <w:color w:val="auto"/>
          <w:sz w:val="22"/>
          <w:szCs w:val="22"/>
        </w:rPr>
        <w:t xml:space="preserve">More specifically, we see inconsistency in the fact that currency hedging should be accepted at the level of a share class and not hedging of other risk factors that are for most of them far less volatile than </w:t>
      </w:r>
      <w:r w:rsidR="007F64B0">
        <w:rPr>
          <w:bCs/>
          <w:color w:val="auto"/>
          <w:sz w:val="22"/>
          <w:szCs w:val="22"/>
        </w:rPr>
        <w:t xml:space="preserve">foreign </w:t>
      </w:r>
      <w:r>
        <w:rPr>
          <w:bCs/>
          <w:color w:val="auto"/>
          <w:sz w:val="22"/>
          <w:szCs w:val="22"/>
        </w:rPr>
        <w:t xml:space="preserve">exchange risk. </w:t>
      </w:r>
      <w:r w:rsidRPr="000D2CAD">
        <w:rPr>
          <w:bCs/>
          <w:color w:val="auto"/>
          <w:sz w:val="22"/>
          <w:szCs w:val="22"/>
        </w:rPr>
        <w:t>Furthermore, we consider that developing an overlay of active strategy on one of the risks included in the investment strategy as defined by the common portfolio of all the share classes should be authorized as it is a premium in the interest of clients and provided that it is well calibrated and monitored</w:t>
      </w:r>
      <w:r>
        <w:rPr>
          <w:bCs/>
          <w:color w:val="auto"/>
          <w:sz w:val="22"/>
          <w:szCs w:val="22"/>
        </w:rPr>
        <w:t xml:space="preserve">. More generally, we do not share the idea to focus on one criterion such as same investment strategy and not look to the global picture of the risks/benefits balance that a proposed share class offers to clients: with a highly efficient risk control we think that many variations about types of share classes are possible, acceptable and profitable to clients. </w:t>
      </w:r>
    </w:p>
    <w:p w:rsidR="00A8546D" w:rsidRDefault="00A8546D" w:rsidP="00A8546D">
      <w:pPr>
        <w:pStyle w:val="Default"/>
        <w:spacing w:after="305"/>
        <w:rPr>
          <w:b/>
          <w:bCs/>
          <w:color w:val="auto"/>
          <w:sz w:val="22"/>
          <w:szCs w:val="22"/>
        </w:rPr>
      </w:pPr>
      <w:r>
        <w:rPr>
          <w:b/>
          <w:bCs/>
          <w:color w:val="auto"/>
          <w:sz w:val="22"/>
          <w:szCs w:val="22"/>
        </w:rPr>
        <w:t xml:space="preserve">11. Please provide information about which existing UCITS do not comply with the criteria laid down in paragraph 6 as well as an indication of the assets under management and the number of investors of these UCITS. </w:t>
      </w:r>
    </w:p>
    <w:p w:rsidR="00A8546D" w:rsidRDefault="00A8546D" w:rsidP="00A8546D">
      <w:pPr>
        <w:pStyle w:val="Default"/>
        <w:spacing w:after="120"/>
        <w:jc w:val="both"/>
        <w:rPr>
          <w:bCs/>
          <w:color w:val="auto"/>
          <w:sz w:val="22"/>
          <w:szCs w:val="22"/>
        </w:rPr>
      </w:pPr>
      <w:r>
        <w:rPr>
          <w:bCs/>
          <w:color w:val="auto"/>
          <w:sz w:val="22"/>
          <w:szCs w:val="22"/>
        </w:rPr>
        <w:t xml:space="preserve">Amundi insists on the fact that all 3 criteria listed in §6 are equally important and should be commented and discussed by ESMA: </w:t>
      </w:r>
    </w:p>
    <w:p w:rsidR="00A8546D" w:rsidRDefault="00A8546D" w:rsidP="00A8546D">
      <w:pPr>
        <w:pStyle w:val="Default"/>
        <w:numPr>
          <w:ilvl w:val="0"/>
          <w:numId w:val="2"/>
        </w:numPr>
        <w:spacing w:after="120"/>
        <w:jc w:val="both"/>
        <w:rPr>
          <w:bCs/>
          <w:color w:val="auto"/>
          <w:sz w:val="22"/>
          <w:szCs w:val="22"/>
        </w:rPr>
      </w:pPr>
      <w:r>
        <w:rPr>
          <w:bCs/>
          <w:color w:val="auto"/>
          <w:sz w:val="22"/>
          <w:szCs w:val="22"/>
        </w:rPr>
        <w:lastRenderedPageBreak/>
        <w:t>Same investment strategy: what does it imply ? Is it possible to share the same investment strategy and have different SRRIs ? Different KID ? Where lies the best interest of clients ?</w:t>
      </w:r>
    </w:p>
    <w:p w:rsidR="00A8546D" w:rsidRDefault="00A8546D" w:rsidP="00A8546D">
      <w:pPr>
        <w:pStyle w:val="Default"/>
        <w:numPr>
          <w:ilvl w:val="0"/>
          <w:numId w:val="2"/>
        </w:numPr>
        <w:spacing w:after="120"/>
        <w:jc w:val="both"/>
        <w:rPr>
          <w:bCs/>
          <w:color w:val="auto"/>
          <w:sz w:val="22"/>
          <w:szCs w:val="22"/>
        </w:rPr>
      </w:pPr>
      <w:r>
        <w:rPr>
          <w:bCs/>
          <w:color w:val="auto"/>
          <w:sz w:val="22"/>
          <w:szCs w:val="22"/>
        </w:rPr>
        <w:t xml:space="preserve">Absence of adverse effect on other share classes: how to enforce segregation? Legally? In accounting ? in risk management ? risk control ? conflict of interests issues and how to </w:t>
      </w:r>
      <w:proofErr w:type="spellStart"/>
      <w:r>
        <w:rPr>
          <w:bCs/>
          <w:color w:val="auto"/>
          <w:sz w:val="22"/>
          <w:szCs w:val="22"/>
        </w:rPr>
        <w:t>prioritise</w:t>
      </w:r>
      <w:proofErr w:type="spellEnd"/>
      <w:r>
        <w:rPr>
          <w:bCs/>
          <w:color w:val="auto"/>
          <w:sz w:val="22"/>
          <w:szCs w:val="22"/>
        </w:rPr>
        <w:t xml:space="preserve"> objectives in the investment strategy ? Amundi has developed internal methods that provide strong and efficient protection of investor in different share classes. BFT </w:t>
      </w:r>
      <w:proofErr w:type="spellStart"/>
      <w:r>
        <w:rPr>
          <w:bCs/>
          <w:color w:val="auto"/>
          <w:sz w:val="22"/>
          <w:szCs w:val="22"/>
        </w:rPr>
        <w:t>Gestion</w:t>
      </w:r>
      <w:proofErr w:type="spellEnd"/>
      <w:r>
        <w:rPr>
          <w:bCs/>
          <w:color w:val="auto"/>
          <w:sz w:val="22"/>
          <w:szCs w:val="22"/>
        </w:rPr>
        <w:t xml:space="preserve">, one of </w:t>
      </w:r>
      <w:proofErr w:type="spellStart"/>
      <w:r>
        <w:rPr>
          <w:bCs/>
          <w:color w:val="auto"/>
          <w:sz w:val="22"/>
          <w:szCs w:val="22"/>
        </w:rPr>
        <w:t>Amundi’s</w:t>
      </w:r>
      <w:proofErr w:type="spellEnd"/>
      <w:r>
        <w:rPr>
          <w:bCs/>
          <w:color w:val="auto"/>
          <w:sz w:val="22"/>
          <w:szCs w:val="22"/>
        </w:rPr>
        <w:t xml:space="preserve"> sub</w:t>
      </w:r>
      <w:r w:rsidR="007F64B0">
        <w:rPr>
          <w:bCs/>
          <w:color w:val="auto"/>
          <w:sz w:val="22"/>
          <w:szCs w:val="22"/>
        </w:rPr>
        <w:t>sidiaries</w:t>
      </w:r>
      <w:r w:rsidR="00102898">
        <w:rPr>
          <w:bCs/>
          <w:color w:val="auto"/>
          <w:sz w:val="22"/>
          <w:szCs w:val="22"/>
        </w:rPr>
        <w:t>,</w:t>
      </w:r>
      <w:r>
        <w:rPr>
          <w:bCs/>
          <w:color w:val="auto"/>
          <w:sz w:val="22"/>
          <w:szCs w:val="22"/>
        </w:rPr>
        <w:t xml:space="preserve"> validated with the depository and the auditor of a fund a specific calculation of Net Asset in order to clearly dedicate collateral relating to the hedging strategy specific to a class to this class only. We would be very happy to comment and share this methodology with ESMA as it really reduces the risk of contamination from one to another class.</w:t>
      </w:r>
    </w:p>
    <w:p w:rsidR="00A8546D" w:rsidRDefault="00A8546D" w:rsidP="00A8546D">
      <w:pPr>
        <w:pStyle w:val="Default"/>
        <w:numPr>
          <w:ilvl w:val="0"/>
          <w:numId w:val="2"/>
        </w:numPr>
        <w:spacing w:after="120"/>
        <w:jc w:val="both"/>
        <w:rPr>
          <w:bCs/>
          <w:color w:val="auto"/>
          <w:sz w:val="22"/>
          <w:szCs w:val="22"/>
        </w:rPr>
      </w:pPr>
      <w:r>
        <w:rPr>
          <w:bCs/>
          <w:color w:val="auto"/>
          <w:sz w:val="22"/>
          <w:szCs w:val="22"/>
        </w:rPr>
        <w:t>Appropriate disclosure: KID, reporting, specific section in the prospectus ? what format for which population ? comparative presentation ? those are among the questions that we think should be discussed in depth.</w:t>
      </w:r>
    </w:p>
    <w:p w:rsidR="00A8546D" w:rsidRPr="007C1E54" w:rsidRDefault="00A8546D" w:rsidP="00A8546D">
      <w:pPr>
        <w:pStyle w:val="Default"/>
        <w:spacing w:after="305"/>
        <w:jc w:val="both"/>
        <w:rPr>
          <w:color w:val="auto"/>
          <w:sz w:val="22"/>
          <w:szCs w:val="22"/>
        </w:rPr>
      </w:pPr>
      <w:r>
        <w:rPr>
          <w:bCs/>
          <w:color w:val="auto"/>
          <w:sz w:val="22"/>
          <w:szCs w:val="22"/>
        </w:rPr>
        <w:t xml:space="preserve">Thus, Amundi recommends that ESMA start a profound assessment of the proper usage of share classes before coming to </w:t>
      </w:r>
      <w:r w:rsidR="007F64B0">
        <w:rPr>
          <w:bCs/>
          <w:color w:val="auto"/>
          <w:sz w:val="22"/>
          <w:szCs w:val="22"/>
        </w:rPr>
        <w:t>a</w:t>
      </w:r>
      <w:r>
        <w:rPr>
          <w:bCs/>
          <w:color w:val="auto"/>
          <w:sz w:val="22"/>
          <w:szCs w:val="22"/>
        </w:rPr>
        <w:t xml:space="preserve"> conclusion as to what should be authorized or not. Today, we are confident that the UCITS we manage are totally compliant with criteria listed in § 6. However, some are presented in § 10 as non-compliant</w:t>
      </w:r>
      <w:r w:rsidRPr="009E2D0E">
        <w:rPr>
          <w:bCs/>
          <w:color w:val="auto"/>
          <w:sz w:val="22"/>
          <w:szCs w:val="22"/>
        </w:rPr>
        <w:t>.</w:t>
      </w:r>
      <w:r w:rsidR="00EF1D56" w:rsidRPr="009E2D0E">
        <w:rPr>
          <w:bCs/>
          <w:color w:val="auto"/>
          <w:sz w:val="22"/>
          <w:szCs w:val="22"/>
        </w:rPr>
        <w:t xml:space="preserve"> In particular some include an overlay that may increase the risk profile of the investment strategy common to all share classes.</w:t>
      </w:r>
      <w:r w:rsidRPr="004F6C46">
        <w:rPr>
          <w:bCs/>
          <w:color w:val="auto"/>
          <w:sz w:val="22"/>
          <w:szCs w:val="22"/>
        </w:rPr>
        <w:t xml:space="preserve"> </w:t>
      </w:r>
      <w:r>
        <w:rPr>
          <w:bCs/>
          <w:color w:val="auto"/>
          <w:sz w:val="22"/>
          <w:szCs w:val="22"/>
        </w:rPr>
        <w:t>Amundi considers that all 3 criteria mentioned in § 6 (that we totally support) should be considered in depth both individually and globally before proposing any decision on what type of share classes are to be considered as compliant with them.</w:t>
      </w:r>
    </w:p>
    <w:p w:rsidR="00A8546D" w:rsidRDefault="00A8546D" w:rsidP="00A8546D">
      <w:pPr>
        <w:pStyle w:val="Default"/>
        <w:spacing w:after="305"/>
        <w:rPr>
          <w:b/>
          <w:bCs/>
          <w:color w:val="auto"/>
          <w:sz w:val="22"/>
          <w:szCs w:val="22"/>
        </w:rPr>
      </w:pPr>
      <w:r>
        <w:rPr>
          <w:b/>
          <w:bCs/>
          <w:color w:val="auto"/>
          <w:sz w:val="22"/>
          <w:szCs w:val="22"/>
        </w:rPr>
        <w:t xml:space="preserve">12. Do you see merit in ESMA clarifying how regulatory ratios such as the counterparty risk limit should be calculated (e.g. at the level of the UCITS or share classes)? </w:t>
      </w:r>
    </w:p>
    <w:p w:rsidR="00A8546D" w:rsidRDefault="00A8546D" w:rsidP="00A8546D">
      <w:pPr>
        <w:pStyle w:val="Default"/>
        <w:spacing w:after="120"/>
        <w:jc w:val="both"/>
        <w:rPr>
          <w:bCs/>
          <w:color w:val="auto"/>
          <w:sz w:val="22"/>
          <w:szCs w:val="22"/>
        </w:rPr>
      </w:pPr>
      <w:r>
        <w:rPr>
          <w:bCs/>
          <w:color w:val="auto"/>
          <w:sz w:val="22"/>
          <w:szCs w:val="22"/>
        </w:rPr>
        <w:t xml:space="preserve">Yes, the debate about calculation of risk at the level of the fund or the share class is of high relevance when assessing the risk that other share classes may be affected (infected?) by positions specific to one class. </w:t>
      </w:r>
      <w:r w:rsidR="0098695F" w:rsidRPr="008F68A6">
        <w:rPr>
          <w:bCs/>
          <w:color w:val="auto"/>
          <w:sz w:val="22"/>
          <w:szCs w:val="22"/>
        </w:rPr>
        <w:t>Amundi considers</w:t>
      </w:r>
      <w:r w:rsidRPr="008F68A6">
        <w:rPr>
          <w:bCs/>
          <w:color w:val="auto"/>
          <w:sz w:val="22"/>
          <w:szCs w:val="22"/>
        </w:rPr>
        <w:t xml:space="preserve"> that if an overlay</w:t>
      </w:r>
      <w:r w:rsidR="008F68A6" w:rsidRPr="008F68A6">
        <w:rPr>
          <w:bCs/>
          <w:color w:val="auto"/>
          <w:sz w:val="22"/>
          <w:szCs w:val="22"/>
        </w:rPr>
        <w:t xml:space="preserve"> increasing and not hedging the risk</w:t>
      </w:r>
      <w:r w:rsidRPr="008F68A6">
        <w:rPr>
          <w:bCs/>
          <w:color w:val="auto"/>
          <w:sz w:val="22"/>
          <w:szCs w:val="22"/>
        </w:rPr>
        <w:t xml:space="preserve"> is developed there should be a reinforcement of the risk monitoring and it could take</w:t>
      </w:r>
      <w:r w:rsidR="008F68A6" w:rsidRPr="008F68A6">
        <w:rPr>
          <w:bCs/>
          <w:color w:val="auto"/>
          <w:sz w:val="22"/>
          <w:szCs w:val="22"/>
        </w:rPr>
        <w:t xml:space="preserve"> place, depending on the type of risk,</w:t>
      </w:r>
      <w:r w:rsidRPr="008F68A6">
        <w:rPr>
          <w:bCs/>
          <w:color w:val="auto"/>
          <w:sz w:val="22"/>
          <w:szCs w:val="22"/>
        </w:rPr>
        <w:t xml:space="preserve"> both at share class level and globally at the level of the fund.</w:t>
      </w:r>
      <w:r>
        <w:rPr>
          <w:bCs/>
          <w:color w:val="auto"/>
          <w:sz w:val="22"/>
          <w:szCs w:val="22"/>
        </w:rPr>
        <w:t xml:space="preserve"> </w:t>
      </w:r>
      <w:r w:rsidR="00436A2C">
        <w:rPr>
          <w:bCs/>
          <w:color w:val="auto"/>
          <w:sz w:val="22"/>
          <w:szCs w:val="22"/>
        </w:rPr>
        <w:t>One should not underestimate the cost that implementation of these controls might represent.</w:t>
      </w:r>
    </w:p>
    <w:p w:rsidR="00A8546D" w:rsidRPr="004F6C46" w:rsidRDefault="00A8546D" w:rsidP="00A8546D">
      <w:pPr>
        <w:pStyle w:val="Default"/>
        <w:spacing w:after="305"/>
        <w:jc w:val="both"/>
        <w:rPr>
          <w:bCs/>
          <w:color w:val="auto"/>
          <w:sz w:val="22"/>
          <w:szCs w:val="22"/>
        </w:rPr>
      </w:pPr>
      <w:r>
        <w:rPr>
          <w:bCs/>
          <w:color w:val="auto"/>
          <w:sz w:val="22"/>
          <w:szCs w:val="22"/>
        </w:rPr>
        <w:t xml:space="preserve">It does not imply, however, that the regulation should introduce detailed requirements. It is the responsibility of the asset manager, under NCA’s supervision, to be properly organized with a specific monitoring when necessary. Counterparty risk is a perfect example of a risk which has to be considered at both levels. Leveraged share classes is another one.  </w:t>
      </w:r>
    </w:p>
    <w:p w:rsidR="00A8546D" w:rsidRDefault="00A8546D" w:rsidP="00A8546D">
      <w:pPr>
        <w:pStyle w:val="Default"/>
        <w:spacing w:after="305"/>
        <w:rPr>
          <w:b/>
          <w:bCs/>
          <w:color w:val="auto"/>
          <w:sz w:val="22"/>
          <w:szCs w:val="22"/>
        </w:rPr>
      </w:pPr>
      <w:r>
        <w:rPr>
          <w:b/>
          <w:bCs/>
          <w:color w:val="auto"/>
          <w:sz w:val="22"/>
          <w:szCs w:val="22"/>
        </w:rPr>
        <w:t>13. Do potential and current investors get adequate information about the characteristics, risks and return of different classes in the same UCITS? If not, what else should be provided to them?</w:t>
      </w:r>
    </w:p>
    <w:p w:rsidR="00A8546D" w:rsidRDefault="00A8546D" w:rsidP="00A8546D">
      <w:pPr>
        <w:pStyle w:val="Default"/>
        <w:spacing w:after="305"/>
        <w:jc w:val="both"/>
        <w:rPr>
          <w:color w:val="auto"/>
          <w:sz w:val="22"/>
          <w:szCs w:val="22"/>
        </w:rPr>
      </w:pPr>
      <w:r>
        <w:rPr>
          <w:bCs/>
          <w:color w:val="auto"/>
          <w:sz w:val="22"/>
          <w:szCs w:val="22"/>
        </w:rPr>
        <w:t xml:space="preserve">Asset managers in general and Amundi in particular pay the highest attention to information they provide to investors. We consider that globally these efforts enable investors to receive </w:t>
      </w:r>
      <w:r>
        <w:rPr>
          <w:bCs/>
          <w:color w:val="auto"/>
          <w:sz w:val="22"/>
          <w:szCs w:val="22"/>
        </w:rPr>
        <w:lastRenderedPageBreak/>
        <w:t xml:space="preserve">adequate and informative documentation pre and post subscription. However, we think that different practices developed about the presentation of different share classes of the same fund or sub-fund and </w:t>
      </w:r>
      <w:r w:rsidR="008F68A6">
        <w:rPr>
          <w:bCs/>
          <w:color w:val="auto"/>
          <w:sz w:val="22"/>
          <w:szCs w:val="22"/>
        </w:rPr>
        <w:t xml:space="preserve">we </w:t>
      </w:r>
      <w:r>
        <w:rPr>
          <w:bCs/>
          <w:color w:val="auto"/>
          <w:sz w:val="22"/>
          <w:szCs w:val="22"/>
        </w:rPr>
        <w:t>share the view that ESMA should investigate the matter.</w:t>
      </w:r>
    </w:p>
    <w:p w:rsidR="00A8546D" w:rsidRDefault="00A8546D" w:rsidP="00A8546D">
      <w:pPr>
        <w:pStyle w:val="Default"/>
        <w:rPr>
          <w:b/>
          <w:bCs/>
          <w:color w:val="auto"/>
          <w:sz w:val="22"/>
          <w:szCs w:val="22"/>
        </w:rPr>
      </w:pPr>
      <w:r>
        <w:rPr>
          <w:b/>
          <w:bCs/>
          <w:color w:val="auto"/>
          <w:sz w:val="22"/>
          <w:szCs w:val="22"/>
        </w:rPr>
        <w:t xml:space="preserve">14. Do you agree that ESMA should develop a common position on this issue? If not, please justify your position. </w:t>
      </w:r>
    </w:p>
    <w:p w:rsidR="00A8546D" w:rsidRDefault="00A8546D" w:rsidP="00A8546D">
      <w:pPr>
        <w:pStyle w:val="Default"/>
        <w:rPr>
          <w:bCs/>
          <w:color w:val="auto"/>
          <w:sz w:val="22"/>
          <w:szCs w:val="22"/>
        </w:rPr>
      </w:pPr>
    </w:p>
    <w:p w:rsidR="00A8546D" w:rsidRPr="006B0462" w:rsidRDefault="00A8546D" w:rsidP="00A8546D">
      <w:pPr>
        <w:pStyle w:val="Default"/>
        <w:jc w:val="both"/>
        <w:rPr>
          <w:color w:val="auto"/>
          <w:sz w:val="22"/>
          <w:szCs w:val="22"/>
        </w:rPr>
      </w:pPr>
      <w:r>
        <w:rPr>
          <w:bCs/>
          <w:color w:val="auto"/>
          <w:sz w:val="22"/>
          <w:szCs w:val="22"/>
        </w:rPr>
        <w:t xml:space="preserve">Yes, European harmonization in that field is very important. More generally, Amundi recommends that ESMA devote more time and efforts to level 4 of the </w:t>
      </w:r>
      <w:proofErr w:type="spellStart"/>
      <w:r>
        <w:rPr>
          <w:bCs/>
          <w:color w:val="auto"/>
          <w:sz w:val="22"/>
          <w:szCs w:val="22"/>
        </w:rPr>
        <w:t>Lamfalussy</w:t>
      </w:r>
      <w:proofErr w:type="spellEnd"/>
      <w:r>
        <w:rPr>
          <w:bCs/>
          <w:color w:val="auto"/>
          <w:sz w:val="22"/>
          <w:szCs w:val="22"/>
        </w:rPr>
        <w:t xml:space="preserve"> process and enhance a truly harmonized level playing field in Europe. After the introduction of so many texts at level 1 and 2 in recent years, it is high time to consider their implementation and assess the reality of the objective of the European legislators to develop a unified European market.</w:t>
      </w:r>
    </w:p>
    <w:p w:rsidR="00345ED8" w:rsidRDefault="00345ED8">
      <w:pPr>
        <w:rPr>
          <w:lang w:val="en-US"/>
        </w:rPr>
      </w:pPr>
    </w:p>
    <w:p w:rsidR="008F68A6" w:rsidRDefault="008F68A6">
      <w:pPr>
        <w:rPr>
          <w:lang w:val="en-US"/>
        </w:rPr>
      </w:pPr>
    </w:p>
    <w:p w:rsidR="008F68A6" w:rsidRPr="00A14091" w:rsidRDefault="008F68A6">
      <w:pPr>
        <w:rPr>
          <w:i/>
          <w:sz w:val="22"/>
          <w:szCs w:val="22"/>
          <w:u w:val="single"/>
          <w:lang w:val="en-US"/>
        </w:rPr>
      </w:pPr>
      <w:r w:rsidRPr="00A14091">
        <w:rPr>
          <w:i/>
          <w:sz w:val="22"/>
          <w:szCs w:val="22"/>
          <w:u w:val="single"/>
          <w:lang w:val="en-US"/>
        </w:rPr>
        <w:t>Contact at Amundi:</w:t>
      </w:r>
    </w:p>
    <w:p w:rsidR="008F68A6" w:rsidRPr="00A14091" w:rsidRDefault="008F68A6">
      <w:pPr>
        <w:rPr>
          <w:i/>
          <w:sz w:val="22"/>
          <w:szCs w:val="22"/>
          <w:u w:val="single"/>
          <w:lang w:val="en-US"/>
        </w:rPr>
      </w:pPr>
    </w:p>
    <w:p w:rsidR="008F68A6" w:rsidRPr="00A14091" w:rsidRDefault="008F68A6">
      <w:pPr>
        <w:rPr>
          <w:i/>
          <w:sz w:val="22"/>
          <w:szCs w:val="22"/>
          <w:lang w:val="en-US"/>
        </w:rPr>
      </w:pPr>
      <w:r w:rsidRPr="00A14091">
        <w:rPr>
          <w:i/>
          <w:sz w:val="22"/>
          <w:szCs w:val="22"/>
          <w:lang w:val="en-US"/>
        </w:rPr>
        <w:t>Frédéric BOMPAIRE</w:t>
      </w:r>
    </w:p>
    <w:p w:rsidR="008F68A6" w:rsidRPr="00A14091" w:rsidRDefault="008F68A6">
      <w:pPr>
        <w:rPr>
          <w:i/>
          <w:sz w:val="22"/>
          <w:szCs w:val="22"/>
          <w:lang w:val="en-US"/>
        </w:rPr>
      </w:pPr>
      <w:r w:rsidRPr="00A14091">
        <w:rPr>
          <w:i/>
          <w:sz w:val="22"/>
          <w:szCs w:val="22"/>
          <w:lang w:val="en-US"/>
        </w:rPr>
        <w:t>Public Affairs</w:t>
      </w:r>
    </w:p>
    <w:p w:rsidR="008F68A6" w:rsidRPr="00A14091" w:rsidRDefault="008F68A6">
      <w:pPr>
        <w:rPr>
          <w:i/>
          <w:sz w:val="22"/>
          <w:szCs w:val="22"/>
        </w:rPr>
      </w:pPr>
      <w:r w:rsidRPr="00A14091">
        <w:rPr>
          <w:i/>
          <w:sz w:val="22"/>
          <w:szCs w:val="22"/>
        </w:rPr>
        <w:t>Tél: +33 (0) 1 7637</w:t>
      </w:r>
      <w:r w:rsidR="00780262" w:rsidRPr="00A14091">
        <w:rPr>
          <w:i/>
          <w:sz w:val="22"/>
          <w:szCs w:val="22"/>
        </w:rPr>
        <w:t xml:space="preserve"> 9144</w:t>
      </w:r>
    </w:p>
    <w:p w:rsidR="00780262" w:rsidRPr="00A14091" w:rsidRDefault="003A741C">
      <w:pPr>
        <w:rPr>
          <w:i/>
          <w:sz w:val="22"/>
          <w:szCs w:val="22"/>
        </w:rPr>
      </w:pPr>
      <w:hyperlink r:id="rId8" w:history="1">
        <w:r w:rsidR="00780262" w:rsidRPr="00A14091">
          <w:rPr>
            <w:rStyle w:val="Lienhypertexte"/>
            <w:i/>
            <w:sz w:val="22"/>
            <w:szCs w:val="22"/>
          </w:rPr>
          <w:t>frederic.bompaire@amundi.com</w:t>
        </w:r>
      </w:hyperlink>
      <w:r w:rsidR="00780262" w:rsidRPr="00A14091">
        <w:rPr>
          <w:i/>
          <w:sz w:val="22"/>
          <w:szCs w:val="22"/>
        </w:rPr>
        <w:t xml:space="preserve"> </w:t>
      </w:r>
    </w:p>
    <w:p w:rsidR="00780262" w:rsidRPr="00A14091" w:rsidRDefault="00780262">
      <w:pPr>
        <w:rPr>
          <w:i/>
          <w:sz w:val="22"/>
          <w:szCs w:val="22"/>
        </w:rPr>
        <w:sectPr w:rsidR="00780262" w:rsidRPr="00A14091" w:rsidSect="00A8546D">
          <w:headerReference w:type="default" r:id="rId9"/>
          <w:footerReference w:type="default" r:id="rId10"/>
          <w:headerReference w:type="first" r:id="rId11"/>
          <w:footerReference w:type="first" r:id="rId12"/>
          <w:type w:val="continuous"/>
          <w:pgSz w:w="12242" w:h="15842" w:code="1"/>
          <w:pgMar w:top="1417" w:right="1417" w:bottom="1417" w:left="1417" w:header="567" w:footer="567" w:gutter="0"/>
          <w:cols w:space="709"/>
          <w:titlePg/>
          <w:docGrid w:linePitch="272"/>
        </w:sectPr>
      </w:pPr>
    </w:p>
    <w:p w:rsidR="00CE44E4" w:rsidRPr="00780262" w:rsidRDefault="00CE44E4" w:rsidP="00A8546D">
      <w:pPr>
        <w:pStyle w:val="Signature"/>
      </w:pPr>
    </w:p>
    <w:p w:rsidR="008F68A6" w:rsidRPr="00780262" w:rsidRDefault="008F68A6" w:rsidP="00A8546D">
      <w:pPr>
        <w:pStyle w:val="Signature"/>
      </w:pPr>
    </w:p>
    <w:p w:rsidR="008F68A6" w:rsidRPr="00780262" w:rsidRDefault="008F68A6" w:rsidP="008F68A6">
      <w:pPr>
        <w:pStyle w:val="Signature"/>
      </w:pPr>
    </w:p>
    <w:sectPr w:rsidR="008F68A6" w:rsidRPr="00780262">
      <w:type w:val="continuous"/>
      <w:pgSz w:w="12242" w:h="15842" w:code="1"/>
      <w:pgMar w:top="680" w:right="680" w:bottom="851" w:left="2852" w:header="567" w:footer="567" w:gutter="0"/>
      <w:cols w:space="709"/>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3C2" w:rsidRDefault="006833C2">
      <w:r>
        <w:separator/>
      </w:r>
    </w:p>
  </w:endnote>
  <w:endnote w:type="continuationSeparator" w:id="0">
    <w:p w:rsidR="006833C2" w:rsidRDefault="00683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46D" w:rsidRDefault="00A8546D">
    <w:pPr>
      <w:pStyle w:val="Pieddepage"/>
      <w:jc w:val="center"/>
    </w:pPr>
    <w:r>
      <w:fldChar w:fldCharType="begin"/>
    </w:r>
    <w:r>
      <w:instrText>PAGE   \* MERGEFORMAT</w:instrText>
    </w:r>
    <w:r>
      <w:fldChar w:fldCharType="separate"/>
    </w:r>
    <w:r w:rsidR="003A741C">
      <w:rPr>
        <w:noProof/>
      </w:rPr>
      <w:t>6</w:t>
    </w:r>
    <w:r>
      <w:fldChar w:fldCharType="end"/>
    </w:r>
  </w:p>
  <w:p w:rsidR="00345ED8" w:rsidRDefault="00345ED8">
    <w:pPr>
      <w:pStyle w:val="Pieddepage"/>
      <w:tabs>
        <w:tab w:val="clear" w:pos="4536"/>
        <w:tab w:val="clear" w:pos="9072"/>
      </w:tabs>
      <w:spacing w:line="240"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ED8" w:rsidRDefault="00345ED8">
    <w:pPr>
      <w:pStyle w:val="Pieddepage"/>
      <w:tabs>
        <w:tab w:val="clear" w:pos="4536"/>
        <w:tab w:val="clear" w:pos="9072"/>
      </w:tabs>
      <w:spacing w:line="240" w:lineRule="exact"/>
      <w:rPr>
        <w:lang w:val="en-US"/>
      </w:rPr>
    </w:pPr>
  </w:p>
  <w:p w:rsidR="00345ED8" w:rsidRDefault="00345ED8">
    <w:pPr>
      <w:pStyle w:val="Pieddepage"/>
      <w:tabs>
        <w:tab w:val="clear" w:pos="4536"/>
        <w:tab w:val="clear" w:pos="9072"/>
      </w:tabs>
      <w:spacing w:line="240" w:lineRule="exact"/>
      <w:rPr>
        <w:lang w:val="en-US"/>
      </w:rPr>
    </w:pPr>
  </w:p>
  <w:p w:rsidR="00345ED8" w:rsidRDefault="00345ED8">
    <w:pPr>
      <w:pStyle w:val="Pieddepage"/>
      <w:tabs>
        <w:tab w:val="clear" w:pos="4536"/>
        <w:tab w:val="clear" w:pos="9072"/>
      </w:tabs>
      <w:spacing w:line="240" w:lineRule="exact"/>
      <w:rPr>
        <w:lang w:val="en-US"/>
      </w:rPr>
    </w:pPr>
  </w:p>
  <w:p w:rsidR="00345ED8" w:rsidRDefault="00345ED8">
    <w:pPr>
      <w:pStyle w:val="Pieddepage"/>
      <w:tabs>
        <w:tab w:val="clear" w:pos="4536"/>
        <w:tab w:val="clear" w:pos="9072"/>
      </w:tabs>
      <w:spacing w:line="240" w:lineRule="exact"/>
      <w:rPr>
        <w:lang w:val="en-US"/>
      </w:rPr>
    </w:pPr>
  </w:p>
  <w:p w:rsidR="00345ED8" w:rsidRDefault="00345ED8">
    <w:pPr>
      <w:pStyle w:val="Pieddepage"/>
      <w:tabs>
        <w:tab w:val="clear" w:pos="4536"/>
        <w:tab w:val="clear" w:pos="9072"/>
      </w:tabs>
      <w:spacing w:line="240" w:lineRule="exact"/>
      <w:rPr>
        <w:lang w:val="en-US"/>
      </w:rPr>
    </w:pPr>
  </w:p>
  <w:p w:rsidR="00345ED8" w:rsidRDefault="00345ED8">
    <w:pPr>
      <w:pStyle w:val="Pieddepage"/>
      <w:tabs>
        <w:tab w:val="clear" w:pos="4536"/>
        <w:tab w:val="clear" w:pos="9072"/>
      </w:tabs>
      <w:spacing w:line="240" w:lineRule="exact"/>
      <w:rPr>
        <w:lang w:val="en-US"/>
      </w:rPr>
    </w:pPr>
  </w:p>
  <w:p w:rsidR="00345ED8" w:rsidRDefault="00345ED8">
    <w:pPr>
      <w:pStyle w:val="Pieddepage"/>
      <w:tabs>
        <w:tab w:val="clear" w:pos="4536"/>
        <w:tab w:val="clear" w:pos="9072"/>
      </w:tabs>
      <w:spacing w:line="240" w:lineRule="exact"/>
      <w:rPr>
        <w:lang w:val="en-US"/>
      </w:rPr>
    </w:pPr>
  </w:p>
  <w:p w:rsidR="00345ED8" w:rsidRDefault="00345ED8">
    <w:pPr>
      <w:pStyle w:val="Pieddepage"/>
      <w:tabs>
        <w:tab w:val="clear" w:pos="4536"/>
        <w:tab w:val="clear" w:pos="9072"/>
      </w:tabs>
      <w:spacing w:line="240" w:lineRule="exact"/>
      <w:rPr>
        <w:lang w:val="en-US"/>
      </w:rPr>
    </w:pPr>
  </w:p>
  <w:p w:rsidR="00345ED8" w:rsidRDefault="00345ED8">
    <w:pPr>
      <w:pStyle w:val="Pieddepage"/>
      <w:tabs>
        <w:tab w:val="clear" w:pos="4536"/>
        <w:tab w:val="clear" w:pos="9072"/>
      </w:tabs>
      <w:spacing w:line="240" w:lineRule="exac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3C2" w:rsidRDefault="006833C2">
      <w:r>
        <w:separator/>
      </w:r>
    </w:p>
  </w:footnote>
  <w:footnote w:type="continuationSeparator" w:id="0">
    <w:p w:rsidR="006833C2" w:rsidRDefault="006833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ED8" w:rsidRDefault="00A14091">
    <w:pPr>
      <w:pStyle w:val="En-tte"/>
      <w:tabs>
        <w:tab w:val="clear" w:pos="4536"/>
        <w:tab w:val="clear" w:pos="9072"/>
      </w:tabs>
      <w:spacing w:line="240" w:lineRule="exact"/>
    </w:pPr>
    <w:r>
      <w:rPr>
        <w:noProof/>
        <w:lang w:val="en-US" w:eastAsia="zh-TW"/>
      </w:rPr>
      <w:drawing>
        <wp:anchor distT="0" distB="0" distL="114300" distR="114300" simplePos="0" relativeHeight="251657216" behindDoc="1" locked="0" layoutInCell="0" allowOverlap="1">
          <wp:simplePos x="0" y="0"/>
          <wp:positionH relativeFrom="page">
            <wp:posOffset>0</wp:posOffset>
          </wp:positionH>
          <wp:positionV relativeFrom="page">
            <wp:posOffset>0</wp:posOffset>
          </wp:positionV>
          <wp:extent cx="2520315" cy="899795"/>
          <wp:effectExtent l="0" t="0" r="0" b="0"/>
          <wp:wrapNone/>
          <wp:docPr id="2" name="Image 2" descr="Logo_memo_su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memo_su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8997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5ED8" w:rsidRDefault="00345ED8">
    <w:pPr>
      <w:pStyle w:val="En-tte"/>
      <w:tabs>
        <w:tab w:val="clear" w:pos="4536"/>
        <w:tab w:val="clear" w:pos="9072"/>
      </w:tabs>
      <w:spacing w:line="240" w:lineRule="exact"/>
    </w:pPr>
  </w:p>
  <w:p w:rsidR="00345ED8" w:rsidRDefault="00345ED8">
    <w:pPr>
      <w:pStyle w:val="En-tte"/>
      <w:tabs>
        <w:tab w:val="clear" w:pos="4536"/>
        <w:tab w:val="clear" w:pos="9072"/>
      </w:tabs>
      <w:spacing w:line="240" w:lineRule="exact"/>
    </w:pPr>
  </w:p>
  <w:p w:rsidR="00345ED8" w:rsidRDefault="00345ED8">
    <w:pPr>
      <w:pStyle w:val="En-tte"/>
      <w:tabs>
        <w:tab w:val="clear" w:pos="4536"/>
        <w:tab w:val="clear" w:pos="9072"/>
      </w:tabs>
      <w:spacing w:line="240" w:lineRule="exact"/>
    </w:pPr>
  </w:p>
  <w:p w:rsidR="00345ED8" w:rsidRDefault="00345ED8">
    <w:pPr>
      <w:pStyle w:val="En-tte"/>
      <w:tabs>
        <w:tab w:val="clear" w:pos="4536"/>
        <w:tab w:val="clear" w:pos="9072"/>
      </w:tabs>
      <w:spacing w:line="240" w:lineRule="exact"/>
    </w:pPr>
  </w:p>
  <w:p w:rsidR="00345ED8" w:rsidRDefault="00345ED8">
    <w:pPr>
      <w:pStyle w:val="En-tte"/>
      <w:tabs>
        <w:tab w:val="clear" w:pos="4536"/>
        <w:tab w:val="clear" w:pos="9072"/>
      </w:tabs>
      <w:spacing w:line="240" w:lineRule="exact"/>
    </w:pPr>
  </w:p>
  <w:p w:rsidR="00345ED8" w:rsidRDefault="00345ED8">
    <w:pPr>
      <w:pStyle w:val="En-tte"/>
      <w:tabs>
        <w:tab w:val="clear" w:pos="4536"/>
        <w:tab w:val="clear" w:pos="9072"/>
      </w:tabs>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ED8" w:rsidRDefault="00A14091">
    <w:pPr>
      <w:pStyle w:val="En-tte"/>
      <w:tabs>
        <w:tab w:val="clear" w:pos="4536"/>
        <w:tab w:val="clear" w:pos="9072"/>
      </w:tabs>
      <w:spacing w:line="240" w:lineRule="exact"/>
      <w:rPr>
        <w:lang w:val="en-US"/>
      </w:rPr>
    </w:pPr>
    <w:r>
      <w:rPr>
        <w:noProof/>
        <w:lang w:val="en-US" w:eastAsia="zh-TW"/>
      </w:rPr>
      <w:drawing>
        <wp:anchor distT="0" distB="0" distL="114300" distR="114300" simplePos="0" relativeHeight="251658240" behindDoc="0" locked="0" layoutInCell="0" allowOverlap="1">
          <wp:simplePos x="0" y="0"/>
          <wp:positionH relativeFrom="column">
            <wp:posOffset>-1873885</wp:posOffset>
          </wp:positionH>
          <wp:positionV relativeFrom="paragraph">
            <wp:posOffset>-357505</wp:posOffset>
          </wp:positionV>
          <wp:extent cx="2275205" cy="1194435"/>
          <wp:effectExtent l="0" t="0" r="0" b="0"/>
          <wp:wrapSquare wrapText="bothSides"/>
          <wp:docPr id="16" name="Image 16" descr="Amundi_co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mundi_compa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5205" cy="1194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5ED8" w:rsidRDefault="00345ED8">
    <w:pPr>
      <w:pStyle w:val="En-tte"/>
      <w:tabs>
        <w:tab w:val="clear" w:pos="4536"/>
        <w:tab w:val="clear" w:pos="9072"/>
      </w:tabs>
      <w:spacing w:line="240" w:lineRule="exact"/>
      <w:rPr>
        <w:lang w:val="en-US"/>
      </w:rPr>
    </w:pPr>
  </w:p>
  <w:p w:rsidR="00345ED8" w:rsidRDefault="00345ED8">
    <w:pPr>
      <w:pStyle w:val="En-tte"/>
      <w:tabs>
        <w:tab w:val="clear" w:pos="4536"/>
        <w:tab w:val="clear" w:pos="9072"/>
      </w:tabs>
      <w:spacing w:line="240" w:lineRule="exact"/>
      <w:rPr>
        <w:lang w:val="en-US"/>
      </w:rPr>
    </w:pPr>
  </w:p>
  <w:p w:rsidR="00345ED8" w:rsidRDefault="00345ED8">
    <w:pPr>
      <w:pStyle w:val="En-tte"/>
      <w:tabs>
        <w:tab w:val="clear" w:pos="4536"/>
        <w:tab w:val="clear" w:pos="9072"/>
      </w:tabs>
      <w:spacing w:line="240" w:lineRule="exact"/>
      <w:rPr>
        <w:lang w:val="en-US"/>
      </w:rPr>
    </w:pPr>
  </w:p>
  <w:p w:rsidR="00345ED8" w:rsidRDefault="00345ED8">
    <w:pPr>
      <w:pStyle w:val="En-tte"/>
      <w:tabs>
        <w:tab w:val="clear" w:pos="4536"/>
        <w:tab w:val="clear" w:pos="9072"/>
      </w:tabs>
      <w:spacing w:line="240" w:lineRule="exact"/>
      <w:rPr>
        <w:lang w:val="en-US"/>
      </w:rPr>
    </w:pPr>
  </w:p>
  <w:p w:rsidR="00345ED8" w:rsidRDefault="00345ED8">
    <w:pPr>
      <w:pStyle w:val="En-tte"/>
      <w:tabs>
        <w:tab w:val="clear" w:pos="4536"/>
        <w:tab w:val="clear" w:pos="9072"/>
      </w:tabs>
      <w:spacing w:line="240" w:lineRule="exact"/>
      <w:rPr>
        <w:lang w:val="en-US"/>
      </w:rPr>
    </w:pPr>
  </w:p>
  <w:p w:rsidR="00345ED8" w:rsidRDefault="00345ED8">
    <w:pPr>
      <w:pStyle w:val="En-tte"/>
      <w:tabs>
        <w:tab w:val="clear" w:pos="4536"/>
        <w:tab w:val="clear" w:pos="9072"/>
      </w:tabs>
      <w:spacing w:line="240" w:lineRule="exact"/>
      <w:rPr>
        <w:lang w:val="en-US"/>
      </w:rPr>
    </w:pPr>
  </w:p>
  <w:p w:rsidR="00345ED8" w:rsidRDefault="00345ED8">
    <w:pPr>
      <w:pStyle w:val="En-tte"/>
      <w:tabs>
        <w:tab w:val="clear" w:pos="4536"/>
        <w:tab w:val="clear" w:pos="9072"/>
      </w:tabs>
      <w:spacing w:line="240" w:lineRule="exact"/>
      <w:rPr>
        <w:lang w:val="en-US"/>
      </w:rPr>
    </w:pPr>
  </w:p>
  <w:p w:rsidR="00345ED8" w:rsidRDefault="00345ED8">
    <w:pPr>
      <w:pStyle w:val="En-tte"/>
      <w:tabs>
        <w:tab w:val="clear" w:pos="4536"/>
        <w:tab w:val="clear" w:pos="9072"/>
      </w:tabs>
      <w:spacing w:line="190" w:lineRule="exac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277E4"/>
    <w:multiLevelType w:val="hybridMultilevel"/>
    <w:tmpl w:val="7A4AE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6F7B66"/>
    <w:multiLevelType w:val="hybridMultilevel"/>
    <w:tmpl w:val="B7C24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46D"/>
    <w:rsid w:val="000D2CAD"/>
    <w:rsid w:val="00102898"/>
    <w:rsid w:val="00155AA5"/>
    <w:rsid w:val="00225865"/>
    <w:rsid w:val="00345ED8"/>
    <w:rsid w:val="003A741C"/>
    <w:rsid w:val="00436A2C"/>
    <w:rsid w:val="00531B15"/>
    <w:rsid w:val="005A7A1F"/>
    <w:rsid w:val="006833C2"/>
    <w:rsid w:val="00741C28"/>
    <w:rsid w:val="00780262"/>
    <w:rsid w:val="007B352C"/>
    <w:rsid w:val="007F64B0"/>
    <w:rsid w:val="008F68A6"/>
    <w:rsid w:val="0098695F"/>
    <w:rsid w:val="009E2D0E"/>
    <w:rsid w:val="00A14091"/>
    <w:rsid w:val="00A26FD0"/>
    <w:rsid w:val="00A5403D"/>
    <w:rsid w:val="00A8546D"/>
    <w:rsid w:val="00C95ECD"/>
    <w:rsid w:val="00CE44E4"/>
    <w:rsid w:val="00D025B9"/>
    <w:rsid w:val="00DC1C22"/>
    <w:rsid w:val="00E95A22"/>
    <w:rsid w:val="00EB6034"/>
    <w:rsid w:val="00EF1D56"/>
    <w:rsid w:val="00FB0D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40" w:lineRule="atLeast"/>
    </w:pPr>
    <w:rPr>
      <w:rFonts w:ascii="Arial" w:hAnsi="Arial"/>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Signature">
    <w:name w:val="Signature"/>
    <w:basedOn w:val="Normal"/>
    <w:pPr>
      <w:ind w:left="4004"/>
    </w:pPr>
  </w:style>
  <w:style w:type="paragraph" w:customStyle="1" w:styleId="Nomdelafiliale">
    <w:name w:val="Nom de la filiale"/>
    <w:basedOn w:val="Normal"/>
    <w:pPr>
      <w:framePr w:w="6521" w:h="57" w:wrap="notBeside" w:vAnchor="page" w:hAnchor="page" w:x="681" w:y="14460" w:anchorLock="1"/>
      <w:spacing w:line="216" w:lineRule="exact"/>
    </w:pPr>
    <w:rPr>
      <w:rFonts w:eastAsia="Times New Roman"/>
      <w:b/>
      <w:color w:val="00235D"/>
      <w:sz w:val="18"/>
    </w:rPr>
  </w:style>
  <w:style w:type="paragraph" w:customStyle="1" w:styleId="Adressepieddepage">
    <w:name w:val="Adresse pied de page"/>
    <w:basedOn w:val="Normal"/>
    <w:pPr>
      <w:framePr w:w="6521" w:h="57" w:wrap="notBeside" w:vAnchor="page" w:hAnchor="page" w:x="681" w:y="14460" w:anchorLock="1"/>
      <w:spacing w:line="192" w:lineRule="exact"/>
    </w:pPr>
    <w:rPr>
      <w:rFonts w:eastAsia="Times New Roman"/>
      <w:color w:val="00235D"/>
      <w:sz w:val="16"/>
    </w:rPr>
  </w:style>
  <w:style w:type="paragraph" w:customStyle="1" w:styleId="Capitaletrfrences">
    <w:name w:val="Capital et références"/>
    <w:basedOn w:val="Adressepieddepage"/>
    <w:pPr>
      <w:framePr w:wrap="notBeside"/>
      <w:spacing w:line="168" w:lineRule="exact"/>
    </w:pPr>
    <w:rPr>
      <w:sz w:val="14"/>
    </w:rPr>
  </w:style>
  <w:style w:type="paragraph" w:customStyle="1" w:styleId="objet">
    <w:name w:val="objet"/>
    <w:basedOn w:val="Normal"/>
    <w:pPr>
      <w:spacing w:line="260" w:lineRule="exact"/>
    </w:pPr>
  </w:style>
  <w:style w:type="paragraph" w:customStyle="1" w:styleId="pages">
    <w:name w:val="pages"/>
    <w:basedOn w:val="Normal"/>
    <w:pPr>
      <w:framePr w:w="3969" w:h="2268" w:wrap="around" w:vAnchor="page" w:hAnchor="page" w:x="7145" w:y="2643" w:anchorLock="1"/>
      <w:spacing w:line="260" w:lineRule="atLeast"/>
    </w:pPr>
  </w:style>
  <w:style w:type="paragraph" w:customStyle="1" w:styleId="ville">
    <w:name w:val="ville"/>
    <w:basedOn w:val="Normal"/>
    <w:pPr>
      <w:framePr w:w="3969" w:h="2268" w:wrap="around" w:vAnchor="page" w:hAnchor="page" w:x="2864" w:y="2643" w:anchorLock="1"/>
      <w:spacing w:line="260" w:lineRule="atLeast"/>
    </w:pPr>
  </w:style>
  <w:style w:type="paragraph" w:customStyle="1" w:styleId="Filet">
    <w:name w:val="Filet"/>
    <w:basedOn w:val="Normal"/>
    <w:pPr>
      <w:pBdr>
        <w:top w:val="single" w:sz="4" w:space="1" w:color="auto"/>
      </w:pBdr>
      <w:spacing w:line="160" w:lineRule="exact"/>
    </w:pPr>
  </w:style>
  <w:style w:type="paragraph" w:customStyle="1" w:styleId="Default">
    <w:name w:val="Default"/>
    <w:rsid w:val="00A8546D"/>
    <w:pPr>
      <w:autoSpaceDE w:val="0"/>
      <w:autoSpaceDN w:val="0"/>
      <w:adjustRightInd w:val="0"/>
    </w:pPr>
    <w:rPr>
      <w:rFonts w:ascii="Arial" w:eastAsia="PMingLiU" w:hAnsi="Arial" w:cs="Arial"/>
      <w:color w:val="000000"/>
      <w:sz w:val="24"/>
      <w:szCs w:val="24"/>
    </w:rPr>
  </w:style>
  <w:style w:type="character" w:customStyle="1" w:styleId="PieddepageCar">
    <w:name w:val="Pied de page Car"/>
    <w:link w:val="Pieddepage"/>
    <w:uiPriority w:val="99"/>
    <w:rsid w:val="00A8546D"/>
    <w:rPr>
      <w:rFonts w:ascii="Arial" w:hAnsi="Arial"/>
      <w:lang w:val="fr-FR" w:eastAsia="fr-FR"/>
    </w:rPr>
  </w:style>
  <w:style w:type="character" w:styleId="Lienhypertexte">
    <w:name w:val="Hyperlink"/>
    <w:basedOn w:val="Policepardfaut"/>
    <w:rsid w:val="007802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40" w:lineRule="atLeast"/>
    </w:pPr>
    <w:rPr>
      <w:rFonts w:ascii="Arial" w:hAnsi="Arial"/>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Signature">
    <w:name w:val="Signature"/>
    <w:basedOn w:val="Normal"/>
    <w:pPr>
      <w:ind w:left="4004"/>
    </w:pPr>
  </w:style>
  <w:style w:type="paragraph" w:customStyle="1" w:styleId="Nomdelafiliale">
    <w:name w:val="Nom de la filiale"/>
    <w:basedOn w:val="Normal"/>
    <w:pPr>
      <w:framePr w:w="6521" w:h="57" w:wrap="notBeside" w:vAnchor="page" w:hAnchor="page" w:x="681" w:y="14460" w:anchorLock="1"/>
      <w:spacing w:line="216" w:lineRule="exact"/>
    </w:pPr>
    <w:rPr>
      <w:rFonts w:eastAsia="Times New Roman"/>
      <w:b/>
      <w:color w:val="00235D"/>
      <w:sz w:val="18"/>
    </w:rPr>
  </w:style>
  <w:style w:type="paragraph" w:customStyle="1" w:styleId="Adressepieddepage">
    <w:name w:val="Adresse pied de page"/>
    <w:basedOn w:val="Normal"/>
    <w:pPr>
      <w:framePr w:w="6521" w:h="57" w:wrap="notBeside" w:vAnchor="page" w:hAnchor="page" w:x="681" w:y="14460" w:anchorLock="1"/>
      <w:spacing w:line="192" w:lineRule="exact"/>
    </w:pPr>
    <w:rPr>
      <w:rFonts w:eastAsia="Times New Roman"/>
      <w:color w:val="00235D"/>
      <w:sz w:val="16"/>
    </w:rPr>
  </w:style>
  <w:style w:type="paragraph" w:customStyle="1" w:styleId="Capitaletrfrences">
    <w:name w:val="Capital et références"/>
    <w:basedOn w:val="Adressepieddepage"/>
    <w:pPr>
      <w:framePr w:wrap="notBeside"/>
      <w:spacing w:line="168" w:lineRule="exact"/>
    </w:pPr>
    <w:rPr>
      <w:sz w:val="14"/>
    </w:rPr>
  </w:style>
  <w:style w:type="paragraph" w:customStyle="1" w:styleId="objet">
    <w:name w:val="objet"/>
    <w:basedOn w:val="Normal"/>
    <w:pPr>
      <w:spacing w:line="260" w:lineRule="exact"/>
    </w:pPr>
  </w:style>
  <w:style w:type="paragraph" w:customStyle="1" w:styleId="pages">
    <w:name w:val="pages"/>
    <w:basedOn w:val="Normal"/>
    <w:pPr>
      <w:framePr w:w="3969" w:h="2268" w:wrap="around" w:vAnchor="page" w:hAnchor="page" w:x="7145" w:y="2643" w:anchorLock="1"/>
      <w:spacing w:line="260" w:lineRule="atLeast"/>
    </w:pPr>
  </w:style>
  <w:style w:type="paragraph" w:customStyle="1" w:styleId="ville">
    <w:name w:val="ville"/>
    <w:basedOn w:val="Normal"/>
    <w:pPr>
      <w:framePr w:w="3969" w:h="2268" w:wrap="around" w:vAnchor="page" w:hAnchor="page" w:x="2864" w:y="2643" w:anchorLock="1"/>
      <w:spacing w:line="260" w:lineRule="atLeast"/>
    </w:pPr>
  </w:style>
  <w:style w:type="paragraph" w:customStyle="1" w:styleId="Filet">
    <w:name w:val="Filet"/>
    <w:basedOn w:val="Normal"/>
    <w:pPr>
      <w:pBdr>
        <w:top w:val="single" w:sz="4" w:space="1" w:color="auto"/>
      </w:pBdr>
      <w:spacing w:line="160" w:lineRule="exact"/>
    </w:pPr>
  </w:style>
  <w:style w:type="paragraph" w:customStyle="1" w:styleId="Default">
    <w:name w:val="Default"/>
    <w:rsid w:val="00A8546D"/>
    <w:pPr>
      <w:autoSpaceDE w:val="0"/>
      <w:autoSpaceDN w:val="0"/>
      <w:adjustRightInd w:val="0"/>
    </w:pPr>
    <w:rPr>
      <w:rFonts w:ascii="Arial" w:eastAsia="PMingLiU" w:hAnsi="Arial" w:cs="Arial"/>
      <w:color w:val="000000"/>
      <w:sz w:val="24"/>
      <w:szCs w:val="24"/>
    </w:rPr>
  </w:style>
  <w:style w:type="character" w:customStyle="1" w:styleId="PieddepageCar">
    <w:name w:val="Pied de page Car"/>
    <w:link w:val="Pieddepage"/>
    <w:uiPriority w:val="99"/>
    <w:rsid w:val="00A8546D"/>
    <w:rPr>
      <w:rFonts w:ascii="Arial" w:hAnsi="Arial"/>
      <w:lang w:val="fr-FR" w:eastAsia="fr-FR"/>
    </w:rPr>
  </w:style>
  <w:style w:type="character" w:styleId="Lienhypertexte">
    <w:name w:val="Hyperlink"/>
    <w:basedOn w:val="Policepardfaut"/>
    <w:rsid w:val="007802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frederic.bompaire@amundi.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mpaire\AppData\Local\Microsoft\Windows\Temporary%20Internet%20Files\Content.IE5\JR99EPM1\Letter_GB_word200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Letter_GB_word2003.dot</Template>
  <TotalTime>0</TotalTime>
  <Pages>7</Pages>
  <Words>3257</Words>
  <Characters>16863</Characters>
  <Application>Microsoft Office Word</Application>
  <DocSecurity>0</DocSecurity>
  <Lines>140</Lines>
  <Paragraphs>40</Paragraphs>
  <ScaleCrop>false</ScaleCrop>
  <HeadingPairs>
    <vt:vector size="2" baseType="variant">
      <vt:variant>
        <vt:lpstr>Titre</vt:lpstr>
      </vt:variant>
      <vt:variant>
        <vt:i4>1</vt:i4>
      </vt:variant>
    </vt:vector>
  </HeadingPairs>
  <TitlesOfParts>
    <vt:vector size="1" baseType="lpstr">
      <vt:lpstr>AMUNDI</vt:lpstr>
    </vt:vector>
  </TitlesOfParts>
  <Company>AMUNDI-ITS</Company>
  <LinksUpToDate>false</LinksUpToDate>
  <CharactersWithSpaces>20080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AMUNDI</dc:title>
  <dc:creator>bompaire</dc:creator>
  <cp:lastModifiedBy>bompaire</cp:lastModifiedBy>
  <cp:revision>3</cp:revision>
  <cp:lastPrinted>1900-12-31T23:00:00Z</cp:lastPrinted>
  <dcterms:created xsi:type="dcterms:W3CDTF">2015-03-27T10:59:00Z</dcterms:created>
  <dcterms:modified xsi:type="dcterms:W3CDTF">2015-03-27T11:05:00Z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33813051</vt:i4>
  </property>
  <property fmtid="{D5CDD505-2E9C-101B-9397-08002B2CF9AE}" pid="3" name="_NewReviewCycle">
    <vt:lpwstr/>
  </property>
  <property fmtid="{D5CDD505-2E9C-101B-9397-08002B2CF9AE}" pid="4" name="_EmailSubject">
    <vt:lpwstr>Share classes</vt:lpwstr>
  </property>
  <property fmtid="{D5CDD505-2E9C-101B-9397-08002B2CF9AE}" pid="5" name="_AuthorEmail">
    <vt:lpwstr>frederic.bompaire@amundi.com</vt:lpwstr>
  </property>
  <property fmtid="{D5CDD505-2E9C-101B-9397-08002B2CF9AE}" pid="6" name="_AuthorEmailDisplayName">
    <vt:lpwstr>Bompaire Frederic (AMUNDI)</vt:lpwstr>
  </property>
</Properties>
</file>