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page" w:horzAnchor="page" w:tblpX="1248" w:tblpY="15820"/>
        <w:tblOverlap w:val="never"/>
        <w:tblW w:w="9412" w:type="dxa"/>
        <w:tblCellMar>
          <w:left w:w="0" w:type="dxa"/>
          <w:right w:w="0" w:type="dxa"/>
        </w:tblCellMar>
        <w:tblLook w:val="01E0"/>
      </w:tblPr>
      <w:tblGrid>
        <w:gridCol w:w="9412"/>
      </w:tblGrid>
      <w:tr w:rsidR="00C2094B" w:rsidRPr="00E679BA" w:rsidTr="00315E96">
        <w:trPr>
          <w:trHeight w:val="284"/>
        </w:trPr>
        <w:tc>
          <w:tcPr>
            <w:tcW w:w="9412" w:type="dxa"/>
          </w:tcPr>
          <w:p w:rsidR="00C2094B" w:rsidRPr="00376B02" w:rsidRDefault="00F77601" w:rsidP="00F77601">
            <w:pPr>
              <w:pStyle w:val="00bDBInfo"/>
            </w:pPr>
            <w:r>
              <w:t>1</w:t>
            </w:r>
            <w:r w:rsidR="001C31C3">
              <w:t xml:space="preserve"> </w:t>
            </w:r>
            <w:r>
              <w:t xml:space="preserve">October </w:t>
            </w:r>
            <w:r w:rsidR="001C31C3">
              <w:t>2014</w:t>
            </w:r>
            <w:r w:rsidR="001C31C3" w:rsidRPr="00AA6DAE">
              <w:t>|</w:t>
            </w:r>
            <w:r w:rsidR="006B342B">
              <w:t>ESMA/</w:t>
            </w:r>
            <w:r w:rsidR="001C31C3">
              <w:t>2014/1185 Reply Form</w:t>
            </w:r>
          </w:p>
        </w:tc>
      </w:tr>
    </w:tbl>
    <w:p w:rsidR="00FD7A8D" w:rsidRPr="00640DCD" w:rsidRDefault="00FD7A8D" w:rsidP="00FD7A8D">
      <w:pPr>
        <w:rPr>
          <w:vanish/>
        </w:rPr>
      </w:pPr>
    </w:p>
    <w:tbl>
      <w:tblPr>
        <w:tblpPr w:leftFromText="8505" w:vertAnchor="page" w:horzAnchor="page" w:tblpX="1248" w:tblpY="4401"/>
        <w:tblW w:w="9397" w:type="dxa"/>
        <w:tblLayout w:type="fixed"/>
        <w:tblCellMar>
          <w:left w:w="0" w:type="dxa"/>
          <w:right w:w="0" w:type="dxa"/>
        </w:tblCellMar>
        <w:tblLook w:val="01E0"/>
      </w:tblPr>
      <w:tblGrid>
        <w:gridCol w:w="9397"/>
      </w:tblGrid>
      <w:tr w:rsidR="00A47063" w:rsidRPr="00CC1C71" w:rsidTr="00885696">
        <w:trPr>
          <w:trHeight w:val="1672"/>
        </w:trPr>
        <w:tc>
          <w:tcPr>
            <w:tcW w:w="9397" w:type="dxa"/>
            <w:vAlign w:val="bottom"/>
          </w:tcPr>
          <w:p w:rsidR="00CC1C71" w:rsidRPr="00CC1C71" w:rsidRDefault="00A47063" w:rsidP="00CC1C71">
            <w:pPr>
              <w:pStyle w:val="01aDBTitle"/>
              <w:rPr>
                <w:sz w:val="36"/>
                <w:szCs w:val="36"/>
              </w:rPr>
            </w:pPr>
            <w:r w:rsidRPr="00CC1C71">
              <w:rPr>
                <w:sz w:val="36"/>
                <w:szCs w:val="36"/>
              </w:rPr>
              <w:t xml:space="preserve">Reply form for the </w:t>
            </w:r>
            <w:r w:rsidR="00CC1C71" w:rsidRPr="00CC1C71">
              <w:rPr>
                <w:sz w:val="36"/>
                <w:szCs w:val="36"/>
              </w:rPr>
              <w:t>Consultation Paper</w:t>
            </w:r>
          </w:p>
          <w:p w:rsidR="00A47063" w:rsidRPr="00CC1C71" w:rsidRDefault="001C31C3" w:rsidP="00CC1C71">
            <w:pPr>
              <w:pStyle w:val="01aDBTitle"/>
              <w:rPr>
                <w:sz w:val="36"/>
                <w:szCs w:val="36"/>
              </w:rPr>
            </w:pPr>
            <w:r>
              <w:rPr>
                <w:sz w:val="36"/>
                <w:szCs w:val="36"/>
              </w:rPr>
              <w:t xml:space="preserve">On the </w:t>
            </w:r>
            <w:r w:rsidR="00CC1C71" w:rsidRPr="00CC1C71">
              <w:rPr>
                <w:sz w:val="36"/>
                <w:szCs w:val="36"/>
              </w:rPr>
              <w:t>Clearing Obligation under EMIR (no. 3)</w:t>
            </w:r>
            <w:r w:rsidR="00A47063" w:rsidRPr="00CC1C71">
              <w:rPr>
                <w:sz w:val="36"/>
                <w:szCs w:val="36"/>
              </w:rPr>
              <w:t xml:space="preserve"> </w:t>
            </w:r>
          </w:p>
          <w:p w:rsidR="00A47063" w:rsidRPr="00CC1C71" w:rsidRDefault="00A47063" w:rsidP="00885696">
            <w:pPr>
              <w:pStyle w:val="01bDBSubtitle"/>
              <w:rPr>
                <w:sz w:val="36"/>
                <w:szCs w:val="36"/>
              </w:rPr>
            </w:pPr>
          </w:p>
        </w:tc>
      </w:tr>
    </w:tbl>
    <w:p w:rsidR="00620D7C" w:rsidRPr="00E679BA" w:rsidRDefault="00620D7C" w:rsidP="00C00012">
      <w:pPr>
        <w:pStyle w:val="05HeadlinenoIndex"/>
        <w:sectPr w:rsidR="00620D7C" w:rsidRPr="00E679BA" w:rsidSect="006E3C72">
          <w:headerReference w:type="default" r:id="rId9"/>
          <w:footerReference w:type="default" r:id="rId10"/>
          <w:headerReference w:type="first" r:id="rId11"/>
          <w:foot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tblPr>
      <w:tblGrid>
        <w:gridCol w:w="2325"/>
      </w:tblGrid>
      <w:tr w:rsidR="00620D7C" w:rsidRPr="00E679BA" w:rsidTr="00315E96">
        <w:trPr>
          <w:trHeight w:hRule="exact" w:val="964"/>
        </w:trPr>
        <w:tc>
          <w:tcPr>
            <w:tcW w:w="2325" w:type="dxa"/>
          </w:tcPr>
          <w:p w:rsidR="00620D7C" w:rsidRDefault="00620D7C" w:rsidP="002777CA">
            <w:pPr>
              <w:pStyle w:val="02Date"/>
            </w:pPr>
            <w:r w:rsidRPr="00222D9B">
              <w:lastRenderedPageBreak/>
              <w:t xml:space="preserve">Date: </w:t>
            </w:r>
            <w:r w:rsidR="00F77601">
              <w:t>1</w:t>
            </w:r>
            <w:r w:rsidR="00395EF9">
              <w:t xml:space="preserve"> </w:t>
            </w:r>
            <w:r w:rsidR="00F77601">
              <w:t xml:space="preserve">October </w:t>
            </w:r>
            <w:r w:rsidR="00486C17" w:rsidRPr="00222D9B">
              <w:t>201</w:t>
            </w:r>
            <w:r w:rsidR="006F57F2" w:rsidRPr="00222D9B">
              <w:t>4</w:t>
            </w:r>
          </w:p>
          <w:p w:rsidR="001C31C3" w:rsidRPr="00E679BA" w:rsidRDefault="006B342B" w:rsidP="002777CA">
            <w:pPr>
              <w:pStyle w:val="02Date"/>
            </w:pPr>
            <w:r>
              <w:t>ESMA/</w:t>
            </w:r>
            <w:r w:rsidR="001C31C3">
              <w:t>2014/1185 Reply Form</w:t>
            </w:r>
          </w:p>
        </w:tc>
      </w:tr>
    </w:tbl>
    <w:p w:rsidR="00F574D0" w:rsidRPr="00321CD3" w:rsidRDefault="00F574D0" w:rsidP="00F574D0">
      <w:pPr>
        <w:pStyle w:val="05HeadlinenoIndex"/>
      </w:pPr>
      <w:bookmarkStart w:id="0" w:name="_Toc280628648"/>
      <w:r w:rsidRPr="00321CD3">
        <w:t xml:space="preserve">Responding to this paper </w:t>
      </w:r>
    </w:p>
    <w:p w:rsidR="00F574D0" w:rsidRDefault="00F574D0" w:rsidP="00F574D0">
      <w:pPr>
        <w:pStyle w:val="04BodyText"/>
        <w:spacing w:before="120" w:after="120"/>
      </w:pPr>
      <w:r w:rsidRPr="00321CD3">
        <w:t>The European Securities and Markets Autho</w:t>
      </w:r>
      <w:r>
        <w:t>rity (ESMA) invites responses</w:t>
      </w:r>
      <w:r w:rsidRPr="00321CD3">
        <w:t xml:space="preserve"> </w:t>
      </w:r>
      <w:r>
        <w:t xml:space="preserve">to </w:t>
      </w:r>
      <w:r w:rsidRPr="00321CD3">
        <w:t xml:space="preserve">the specific questions listed in </w:t>
      </w:r>
      <w:r>
        <w:t xml:space="preserve">the ESMA </w:t>
      </w:r>
      <w:r w:rsidR="005F01C0">
        <w:t>Consultation Paper -</w:t>
      </w:r>
      <w:r w:rsidR="005F01C0" w:rsidRPr="005F01C0">
        <w:t xml:space="preserve"> </w:t>
      </w:r>
      <w:r w:rsidR="0004462D" w:rsidRPr="0004462D">
        <w:t>Clearing Obligation under EMIR (no. 3)</w:t>
      </w:r>
      <w:r w:rsidR="00015B5E">
        <w:t xml:space="preserve">, </w:t>
      </w:r>
      <w:r w:rsidR="00015B5E" w:rsidRPr="00015B5E">
        <w:t>published</w:t>
      </w:r>
      <w:r w:rsidR="00015B5E">
        <w:t xml:space="preserve"> on the ESMA we</w:t>
      </w:r>
      <w:r w:rsidR="00015B5E">
        <w:t>b</w:t>
      </w:r>
      <w:r w:rsidR="00015B5E">
        <w:t>site</w:t>
      </w:r>
      <w:r w:rsidR="001C31C3">
        <w:t>.</w:t>
      </w:r>
    </w:p>
    <w:p w:rsidR="001C31C3" w:rsidRPr="0081710D" w:rsidRDefault="001C31C3" w:rsidP="001C31C3">
      <w:pPr>
        <w:pStyle w:val="04bList"/>
        <w:numPr>
          <w:ilvl w:val="0"/>
          <w:numId w:val="0"/>
        </w:numPr>
        <w:spacing w:before="120" w:after="120"/>
      </w:pPr>
      <w:r w:rsidRPr="0081710D">
        <w:t>Responses are most helpful:</w:t>
      </w:r>
      <w:bookmarkStart w:id="1" w:name="_GoBack"/>
      <w:bookmarkEnd w:id="1"/>
    </w:p>
    <w:p w:rsidR="001C31C3" w:rsidRPr="0081710D" w:rsidRDefault="001C31C3" w:rsidP="001C31C3">
      <w:pPr>
        <w:pStyle w:val="04bList"/>
        <w:numPr>
          <w:ilvl w:val="0"/>
          <w:numId w:val="32"/>
        </w:numPr>
        <w:spacing w:before="120" w:after="120"/>
      </w:pPr>
      <w:r w:rsidRPr="0081710D">
        <w:t>if they respond to the question stated;</w:t>
      </w:r>
    </w:p>
    <w:p w:rsidR="001C31C3" w:rsidRPr="0081710D" w:rsidRDefault="001C31C3" w:rsidP="001C31C3">
      <w:pPr>
        <w:pStyle w:val="04bList"/>
        <w:numPr>
          <w:ilvl w:val="0"/>
          <w:numId w:val="32"/>
        </w:numPr>
        <w:spacing w:before="120" w:after="120"/>
      </w:pPr>
      <w:r w:rsidRPr="0081710D">
        <w:t>contain a clear rationale, including on any related costs and benefits; and</w:t>
      </w:r>
    </w:p>
    <w:p w:rsidR="001C31C3" w:rsidRPr="0081710D" w:rsidRDefault="001C31C3" w:rsidP="001C31C3">
      <w:pPr>
        <w:pStyle w:val="04bList"/>
        <w:numPr>
          <w:ilvl w:val="0"/>
          <w:numId w:val="32"/>
        </w:numPr>
        <w:spacing w:before="120" w:after="120"/>
      </w:pPr>
      <w:r w:rsidRPr="0081710D">
        <w:t>describe any alternatives that ESMA should consider</w:t>
      </w:r>
    </w:p>
    <w:p w:rsidR="001C31C3" w:rsidRPr="0081710D" w:rsidRDefault="001C31C3" w:rsidP="001C31C3">
      <w:pPr>
        <w:pStyle w:val="04bList"/>
        <w:numPr>
          <w:ilvl w:val="0"/>
          <w:numId w:val="0"/>
        </w:numPr>
        <w:spacing w:before="120" w:after="120"/>
      </w:pPr>
      <w:r w:rsidRPr="004E1A0F">
        <w:t>To help you navigate this document more easily, bookmarks are available in “Navigation Pane” for Word 2010 and in “Document Map” for Word 2007.</w:t>
      </w:r>
    </w:p>
    <w:p w:rsidR="001C31C3" w:rsidRPr="0081710D" w:rsidRDefault="001C31C3" w:rsidP="001C31C3">
      <w:pPr>
        <w:pStyle w:val="04BodyText"/>
        <w:spacing w:before="120" w:after="120"/>
      </w:pPr>
      <w:r w:rsidRPr="0081710D">
        <w:t xml:space="preserve">Responses must reach us by </w:t>
      </w:r>
      <w:r>
        <w:rPr>
          <w:b/>
        </w:rPr>
        <w:t>6 November 2014</w:t>
      </w:r>
      <w:r w:rsidRPr="0081710D">
        <w:t xml:space="preserve">. </w:t>
      </w:r>
    </w:p>
    <w:p w:rsidR="00F574D0" w:rsidRDefault="001C31C3" w:rsidP="00F574D0">
      <w:pPr>
        <w:pStyle w:val="04BodyText"/>
        <w:spacing w:before="120" w:after="120"/>
      </w:pPr>
      <w:r w:rsidRPr="00321CD3">
        <w:t xml:space="preserve">All contributions should be submitted online at </w:t>
      </w:r>
      <w:hyperlink r:id="rId13" w:history="1">
        <w:r w:rsidRPr="00321CD3">
          <w:rPr>
            <w:rStyle w:val="Lienhypertexte"/>
          </w:rPr>
          <w:t>www.esma.europa.eu</w:t>
        </w:r>
      </w:hyperlink>
      <w:r w:rsidRPr="00321CD3">
        <w:t xml:space="preserve"> under the heading ‘Your i</w:t>
      </w:r>
      <w:r w:rsidRPr="00321CD3">
        <w:t>n</w:t>
      </w:r>
      <w:r w:rsidRPr="00321CD3">
        <w:t xml:space="preserve">put/Consultations’. </w:t>
      </w:r>
    </w:p>
    <w:p w:rsidR="00F574D0" w:rsidRPr="00F574D0" w:rsidRDefault="00F574D0" w:rsidP="001C31C3">
      <w:pPr>
        <w:pStyle w:val="05HeadlinenoIndex"/>
        <w:rPr>
          <w:rFonts w:cs="Georgia"/>
          <w:b w:val="0"/>
          <w:bCs/>
          <w:i/>
          <w:color w:val="000000"/>
          <w:szCs w:val="20"/>
          <w:lang w:eastAsia="en-GB"/>
        </w:rPr>
      </w:pPr>
      <w:r w:rsidRPr="001C31C3">
        <w:t>Instructions</w:t>
      </w:r>
    </w:p>
    <w:p w:rsidR="00F574D0" w:rsidRPr="0081710D" w:rsidRDefault="00D75FEE" w:rsidP="00F574D0">
      <w:pPr>
        <w:pStyle w:val="04BodyText"/>
        <w:spacing w:before="120" w:after="120"/>
      </w:pPr>
      <w:r w:rsidRPr="00D75FEE">
        <w:t xml:space="preserve">Please note that, in order to facilitate the analysis of the responses, you are requested to use this file to send your response to ESMA so as to allow us to process it properly. Therefore, please follow </w:t>
      </w:r>
      <w:r>
        <w:t>the instru</w:t>
      </w:r>
      <w:r>
        <w:t>c</w:t>
      </w:r>
      <w:r>
        <w:t>tions described below</w:t>
      </w:r>
      <w:r w:rsidR="00F574D0" w:rsidRPr="0081710D">
        <w:t>:</w:t>
      </w:r>
    </w:p>
    <w:p w:rsidR="00F574D0" w:rsidRPr="00C0197A" w:rsidRDefault="00F574D0" w:rsidP="00F574D0">
      <w:pPr>
        <w:pStyle w:val="04bList"/>
        <w:numPr>
          <w:ilvl w:val="0"/>
          <w:numId w:val="5"/>
        </w:numPr>
        <w:spacing w:before="120" w:after="120"/>
        <w:ind w:left="720"/>
      </w:pPr>
      <w:r w:rsidRPr="00C0197A">
        <w:t xml:space="preserve">use this </w:t>
      </w:r>
      <w:r w:rsidR="003F5C06">
        <w:t>form</w:t>
      </w:r>
      <w:r w:rsidRPr="00C0197A">
        <w:t xml:space="preserve"> and send </w:t>
      </w:r>
      <w:r w:rsidR="00D75FEE">
        <w:t>your</w:t>
      </w:r>
      <w:r w:rsidRPr="00C0197A">
        <w:t xml:space="preserve"> response</w:t>
      </w:r>
      <w:r>
        <w:t>s</w:t>
      </w:r>
      <w:r w:rsidRPr="00C0197A">
        <w:t xml:space="preserve"> in Word format;</w:t>
      </w:r>
    </w:p>
    <w:p w:rsidR="00F574D0" w:rsidRPr="0081710D" w:rsidRDefault="00D75FEE" w:rsidP="00F574D0">
      <w:pPr>
        <w:pStyle w:val="04bList"/>
        <w:numPr>
          <w:ilvl w:val="0"/>
          <w:numId w:val="5"/>
        </w:numPr>
        <w:spacing w:before="120" w:after="120"/>
        <w:ind w:left="720"/>
      </w:pPr>
      <w:r>
        <w:t xml:space="preserve">do </w:t>
      </w:r>
      <w:r w:rsidR="00F574D0" w:rsidRPr="0081710D">
        <w:t>not remove the tags of type &lt;</w:t>
      </w:r>
      <w:r w:rsidR="00395EF9" w:rsidRPr="00395EF9">
        <w:t xml:space="preserve"> </w:t>
      </w:r>
      <w:r w:rsidR="00395EF9">
        <w:t>ESMA_</w:t>
      </w:r>
      <w:r w:rsidR="002777CA">
        <w:t>CA3</w:t>
      </w:r>
      <w:r w:rsidR="00395EF9">
        <w:t>_QUESTION</w:t>
      </w:r>
      <w:r w:rsidR="00E9344E">
        <w:t>_</w:t>
      </w:r>
      <w:r w:rsidR="00F574D0" w:rsidRPr="0081710D">
        <w:t>1&gt; - i.e. the response to one question has to be framed by the 2 tags corresponding to the question; and</w:t>
      </w:r>
    </w:p>
    <w:p w:rsidR="00F574D0" w:rsidRPr="00321CD3" w:rsidRDefault="00F574D0" w:rsidP="00F574D0">
      <w:pPr>
        <w:pStyle w:val="04bList"/>
        <w:numPr>
          <w:ilvl w:val="0"/>
          <w:numId w:val="5"/>
        </w:numPr>
        <w:spacing w:before="120" w:after="120"/>
        <w:ind w:left="720"/>
      </w:pPr>
      <w:r w:rsidRPr="0081710D">
        <w:t xml:space="preserve">if </w:t>
      </w:r>
      <w:r w:rsidR="00D75FEE">
        <w:t>you do not have a</w:t>
      </w:r>
      <w:r w:rsidRPr="0081710D">
        <w:t xml:space="preserve"> response to a question, </w:t>
      </w:r>
      <w:r w:rsidR="00D75FEE">
        <w:t xml:space="preserve">do </w:t>
      </w:r>
      <w:r w:rsidRPr="0081710D">
        <w:t>not delete it and leave the text “TYPE YOUR TEXT HERE” between the tags.</w:t>
      </w:r>
    </w:p>
    <w:p w:rsidR="00F574D0" w:rsidRPr="001C31C3" w:rsidRDefault="00F574D0" w:rsidP="001C31C3">
      <w:pPr>
        <w:pStyle w:val="05HeadlinenoIndex"/>
      </w:pPr>
      <w:bookmarkStart w:id="2" w:name="_Toc335141334"/>
      <w:r w:rsidRPr="001C31C3">
        <w:t>Publication of responses</w:t>
      </w:r>
      <w:bookmarkEnd w:id="2"/>
    </w:p>
    <w:p w:rsidR="00F574D0" w:rsidRPr="0081710D" w:rsidRDefault="00F574D0" w:rsidP="00F574D0">
      <w:pPr>
        <w:pStyle w:val="04BodyText"/>
        <w:spacing w:before="120" w:after="120"/>
      </w:pPr>
      <w:r w:rsidRPr="0081710D">
        <w:t xml:space="preserve">All contributions received will be published following the end of the consultation period, unless otherwise requested. </w:t>
      </w:r>
      <w:r w:rsidRPr="0081710D">
        <w:rPr>
          <w:b/>
        </w:rPr>
        <w:t>Please clearly indicate by ticking the appropriate checkbox in the website submi</w:t>
      </w:r>
      <w:r w:rsidRPr="0081710D">
        <w:rPr>
          <w:b/>
        </w:rPr>
        <w:t>s</w:t>
      </w:r>
      <w:r w:rsidRPr="0081710D">
        <w:rPr>
          <w:b/>
        </w:rPr>
        <w:t>sion form if you do not wish your contribution to be publicly disclosed. A standard conf</w:t>
      </w:r>
      <w:r w:rsidRPr="0081710D">
        <w:rPr>
          <w:b/>
        </w:rPr>
        <w:t>i</w:t>
      </w:r>
      <w:r w:rsidRPr="0081710D">
        <w:rPr>
          <w:b/>
        </w:rPr>
        <w:t>dentiality statement in an email message will not be treated as a request for non-disclosure.</w:t>
      </w:r>
      <w:r w:rsidRPr="0081710D">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F574D0" w:rsidRPr="001C31C3" w:rsidRDefault="00F574D0" w:rsidP="001C31C3">
      <w:pPr>
        <w:pStyle w:val="05HeadlinenoIndex"/>
      </w:pPr>
      <w:bookmarkStart w:id="3" w:name="_Toc335141335"/>
      <w:r w:rsidRPr="001C31C3">
        <w:t>Data protection</w:t>
      </w:r>
      <w:bookmarkEnd w:id="3"/>
    </w:p>
    <w:p w:rsidR="00F574D0" w:rsidRDefault="00F574D0" w:rsidP="00F574D0">
      <w:pPr>
        <w:autoSpaceDE w:val="0"/>
        <w:autoSpaceDN w:val="0"/>
        <w:adjustRightInd w:val="0"/>
        <w:spacing w:before="120" w:after="120" w:line="276" w:lineRule="auto"/>
        <w:jc w:val="both"/>
        <w:rPr>
          <w:szCs w:val="20"/>
        </w:rPr>
      </w:pPr>
      <w:r w:rsidRPr="00321CD3">
        <w:rPr>
          <w:szCs w:val="20"/>
        </w:rPr>
        <w:t xml:space="preserve">Information on data protection can be found at </w:t>
      </w:r>
      <w:hyperlink r:id="rId14" w:history="1">
        <w:r w:rsidRPr="00321CD3">
          <w:rPr>
            <w:rStyle w:val="Lienhypertexte"/>
            <w:szCs w:val="20"/>
          </w:rPr>
          <w:t>www.esma.europa.eu</w:t>
        </w:r>
      </w:hyperlink>
      <w:r w:rsidRPr="00321CD3">
        <w:rPr>
          <w:szCs w:val="20"/>
        </w:rPr>
        <w:t xml:space="preserve"> under the heading ‘Disclaimer’.</w:t>
      </w:r>
    </w:p>
    <w:bookmarkEnd w:id="0"/>
    <w:p w:rsidR="001C31C3" w:rsidRDefault="001C31C3">
      <w:pPr>
        <w:rPr>
          <w:rFonts w:cs="Arial"/>
          <w:b/>
          <w:bCs/>
          <w:kern w:val="32"/>
          <w:sz w:val="24"/>
          <w:szCs w:val="32"/>
        </w:rPr>
      </w:pPr>
      <w:r>
        <w:br w:type="page"/>
      </w:r>
    </w:p>
    <w:p w:rsidR="00F45029" w:rsidRDefault="00F45029" w:rsidP="00F45029">
      <w:pPr>
        <w:pStyle w:val="Titre1"/>
        <w:numPr>
          <w:ilvl w:val="0"/>
          <w:numId w:val="0"/>
        </w:numPr>
      </w:pPr>
      <w:r>
        <w:lastRenderedPageBreak/>
        <w:t>General information about respondent</w:t>
      </w:r>
    </w:p>
    <w:tbl>
      <w:tblPr>
        <w:tblStyle w:val="Grilledutableau"/>
        <w:tblW w:w="0" w:type="auto"/>
        <w:tblLook w:val="04A0"/>
      </w:tblPr>
      <w:tblGrid>
        <w:gridCol w:w="3510"/>
        <w:gridCol w:w="6118"/>
      </w:tblGrid>
      <w:tr w:rsidR="00F45029" w:rsidTr="00016337">
        <w:tc>
          <w:tcPr>
            <w:tcW w:w="3510" w:type="dxa"/>
          </w:tcPr>
          <w:p w:rsidR="00F45029" w:rsidRDefault="00F45029" w:rsidP="00016337">
            <w:r>
              <w:t>Are you representing an association?</w:t>
            </w:r>
          </w:p>
        </w:tc>
        <w:tc>
          <w:tcPr>
            <w:tcW w:w="6118" w:type="dxa"/>
          </w:tcPr>
          <w:p w:rsidR="00F45029" w:rsidRDefault="00815554" w:rsidP="00016337">
            <w:sdt>
              <w:sdtPr>
                <w:alias w:val="Association"/>
                <w:tag w:val="Association"/>
                <w:id w:val="-1769143793"/>
                <w:placeholder>
                  <w:docPart w:val="3B73C2B6D27B46D9B117EDC939FB0C8D"/>
                </w:placeholder>
                <w:comboBox>
                  <w:listItem w:displayText="Yes" w:value="Yes"/>
                  <w:listItem w:displayText="No" w:value="No"/>
                </w:comboBox>
              </w:sdtPr>
              <w:sdtContent>
                <w:permStart w:id="0" w:edGrp="everyone"/>
                <w:r w:rsidR="00E0416E">
                  <w:t>Yes</w:t>
                </w:r>
                <w:permEnd w:id="0"/>
              </w:sdtContent>
            </w:sdt>
          </w:p>
        </w:tc>
      </w:tr>
      <w:tr w:rsidR="00F45029" w:rsidTr="00016337">
        <w:tc>
          <w:tcPr>
            <w:tcW w:w="3510" w:type="dxa"/>
          </w:tcPr>
          <w:p w:rsidR="00F45029" w:rsidRDefault="00F45029" w:rsidP="00016337">
            <w:r>
              <w:t>Activity:</w:t>
            </w:r>
          </w:p>
        </w:tc>
        <w:tc>
          <w:tcPr>
            <w:tcW w:w="6118" w:type="dxa"/>
          </w:tcPr>
          <w:p w:rsidR="00F45029" w:rsidRDefault="00815554" w:rsidP="00016337">
            <w:sdt>
              <w:sdtPr>
                <w:alias w:val="Activity"/>
                <w:tag w:val="Activity"/>
                <w:id w:val="1654095920"/>
                <w:placeholder>
                  <w:docPart w:val="5D7A0B6D2E2348BAA8507A46929D13BC"/>
                </w:placeholder>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 w:edGrp="everyone"/>
                <w:r w:rsidR="00E0416E">
                  <w:t>Investment Services</w:t>
                </w:r>
                <w:permEnd w:id="1"/>
              </w:sdtContent>
            </w:sdt>
          </w:p>
        </w:tc>
      </w:tr>
      <w:tr w:rsidR="00F45029" w:rsidTr="00016337">
        <w:tc>
          <w:tcPr>
            <w:tcW w:w="3510" w:type="dxa"/>
          </w:tcPr>
          <w:p w:rsidR="00F45029" w:rsidRDefault="00F45029" w:rsidP="00016337">
            <w:r>
              <w:t>Country/Region</w:t>
            </w:r>
          </w:p>
        </w:tc>
        <w:sdt>
          <w:sdtPr>
            <w:alias w:val="Country"/>
            <w:tag w:val="Country"/>
            <w:id w:val="-1549134410"/>
            <w:placeholder>
              <w:docPart w:val="2601290A809E4F0FA43C90989CB57F49"/>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2" w:edGrp="everyone" w:displacedByCustomXml="prev"/>
            <w:tc>
              <w:tcPr>
                <w:tcW w:w="6118" w:type="dxa"/>
              </w:tcPr>
              <w:p w:rsidR="00F45029" w:rsidRDefault="00E0416E" w:rsidP="00016337">
                <w:r>
                  <w:t>France</w:t>
                </w:r>
              </w:p>
            </w:tc>
            <w:permEnd w:id="2" w:displacedByCustomXml="next"/>
          </w:sdtContent>
        </w:sdt>
      </w:tr>
    </w:tbl>
    <w:p w:rsidR="00CC1C71" w:rsidRDefault="00CC1C71" w:rsidP="00CC1C71"/>
    <w:p w:rsidR="00C7564E" w:rsidRDefault="00C7564E">
      <w:pPr>
        <w:rPr>
          <w:rFonts w:cs="Arial"/>
          <w:b/>
          <w:bCs/>
          <w:kern w:val="32"/>
          <w:sz w:val="24"/>
          <w:szCs w:val="32"/>
        </w:rPr>
      </w:pPr>
      <w:bookmarkStart w:id="4" w:name="_Toc392599420"/>
      <w:bookmarkStart w:id="5" w:name="_Toc390701574"/>
      <w:bookmarkStart w:id="6" w:name="_Toc398140744"/>
      <w:r>
        <w:br w:type="page"/>
      </w:r>
    </w:p>
    <w:p w:rsidR="00C7564E" w:rsidRDefault="00C7564E" w:rsidP="00C7564E">
      <w:pPr>
        <w:pStyle w:val="Titre1"/>
        <w:numPr>
          <w:ilvl w:val="0"/>
          <w:numId w:val="0"/>
        </w:numPr>
      </w:pPr>
      <w:r w:rsidRPr="004C2CD3">
        <w:lastRenderedPageBreak/>
        <w:t>Introduction</w:t>
      </w:r>
      <w:bookmarkEnd w:id="4"/>
    </w:p>
    <w:p w:rsidR="00C7564E" w:rsidRDefault="00C7564E" w:rsidP="00C7564E"/>
    <w:p w:rsidR="00C7564E" w:rsidRPr="008203F7" w:rsidRDefault="00C7564E" w:rsidP="00C7564E">
      <w:pPr>
        <w:rPr>
          <w:b/>
        </w:rPr>
      </w:pPr>
      <w:r w:rsidRPr="008203F7">
        <w:rPr>
          <w:b/>
        </w:rPr>
        <w:t>Please make your introductory comments below:</w:t>
      </w:r>
    </w:p>
    <w:p w:rsidR="00C7564E" w:rsidRDefault="00C7564E" w:rsidP="00C7564E"/>
    <w:p w:rsidR="00C7564E" w:rsidRDefault="00C7564E" w:rsidP="00C7564E">
      <w:r>
        <w:t>&lt;ESMA_CO3_COMMENT_1&gt;</w:t>
      </w:r>
    </w:p>
    <w:p w:rsidR="00E17C50" w:rsidRPr="00E17C50" w:rsidRDefault="00E17C50" w:rsidP="00016337">
      <w:pPr>
        <w:pStyle w:val="1AMAFI"/>
        <w:numPr>
          <w:ilvl w:val="0"/>
          <w:numId w:val="0"/>
        </w:numPr>
        <w:tabs>
          <w:tab w:val="left" w:pos="708"/>
        </w:tabs>
        <w:rPr>
          <w:rFonts w:ascii="Georgia" w:hAnsi="Georgia"/>
          <w:b/>
        </w:rPr>
      </w:pPr>
      <w:permStart w:id="3" w:edGrp="everyone"/>
      <w:r w:rsidRPr="00E17C50">
        <w:rPr>
          <w:rFonts w:ascii="Georgia" w:hAnsi="Georgia"/>
          <w:b/>
        </w:rPr>
        <w:t>Presentation of the respondent</w:t>
      </w:r>
    </w:p>
    <w:p w:rsidR="00E17C50" w:rsidRDefault="00E17C50" w:rsidP="00016337">
      <w:pPr>
        <w:pStyle w:val="1AMAFI"/>
        <w:numPr>
          <w:ilvl w:val="0"/>
          <w:numId w:val="0"/>
        </w:numPr>
        <w:tabs>
          <w:tab w:val="left" w:pos="708"/>
        </w:tabs>
        <w:rPr>
          <w:rFonts w:ascii="Georgia" w:hAnsi="Georgia"/>
          <w:i/>
        </w:rPr>
      </w:pPr>
    </w:p>
    <w:p w:rsidR="00016337" w:rsidRPr="00213D8C" w:rsidRDefault="00016337" w:rsidP="00EF3515">
      <w:pPr>
        <w:pStyle w:val="1AMAFI"/>
        <w:numPr>
          <w:ilvl w:val="0"/>
          <w:numId w:val="0"/>
        </w:numPr>
        <w:tabs>
          <w:tab w:val="left" w:pos="708"/>
        </w:tabs>
        <w:rPr>
          <w:rFonts w:ascii="Georgia" w:hAnsi="Georgia"/>
        </w:rPr>
      </w:pPr>
      <w:r w:rsidRPr="004E4A34">
        <w:rPr>
          <w:rFonts w:ascii="Georgia" w:hAnsi="Georgia"/>
          <w:i/>
        </w:rPr>
        <w:t>Association française des marchés financiers</w:t>
      </w:r>
      <w:r w:rsidRPr="00213D8C">
        <w:rPr>
          <w:rFonts w:ascii="Georgia" w:hAnsi="Georgia"/>
        </w:rPr>
        <w:t xml:space="preserve"> (AMAFI)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 has more than 120 members operating for their own account or for clients in different segments, particularly organised and over-the-counter markets for equities, fixed-income products and derivatives. Nearly one-third of its members are subsid</w:t>
      </w:r>
      <w:r w:rsidRPr="00213D8C">
        <w:rPr>
          <w:rFonts w:ascii="Georgia" w:hAnsi="Georgia"/>
        </w:rPr>
        <w:t>i</w:t>
      </w:r>
      <w:r w:rsidRPr="00213D8C">
        <w:rPr>
          <w:rFonts w:ascii="Georgia" w:hAnsi="Georgia"/>
        </w:rPr>
        <w:t>aries or branches of non-French institutions</w:t>
      </w:r>
      <w:r>
        <w:rPr>
          <w:rFonts w:ascii="Georgia" w:hAnsi="Georgia"/>
        </w:rPr>
        <w:t>.</w:t>
      </w:r>
      <w:r w:rsidRPr="00213D8C">
        <w:rPr>
          <w:rFonts w:ascii="Georgia" w:hAnsi="Georgia"/>
        </w:rPr>
        <w:t xml:space="preserve"> </w:t>
      </w:r>
    </w:p>
    <w:p w:rsidR="00016337" w:rsidRPr="00213D8C" w:rsidRDefault="00016337" w:rsidP="00EF3515">
      <w:pPr>
        <w:pStyle w:val="Default"/>
        <w:spacing w:line="240" w:lineRule="atLeast"/>
        <w:jc w:val="both"/>
      </w:pPr>
    </w:p>
    <w:p w:rsidR="00E17C50" w:rsidRDefault="00016337" w:rsidP="00EF3515">
      <w:pPr>
        <w:jc w:val="both"/>
      </w:pPr>
      <w:r w:rsidRPr="00213D8C">
        <w:t>The Association has been following closely the preparation and implementation of EMIR and welcomes the opportunity to answer ESMA’s Consultation on the Clear</w:t>
      </w:r>
      <w:r>
        <w:t>ing Obligation under EMIR (no.3</w:t>
      </w:r>
      <w:r w:rsidRPr="00213D8C">
        <w:t>)</w:t>
      </w:r>
      <w:r>
        <w:t>, after having answered the two previous consultations</w:t>
      </w:r>
    </w:p>
    <w:p w:rsidR="00E17C50" w:rsidRDefault="00E17C50" w:rsidP="00C7564E"/>
    <w:p w:rsidR="00E17C50" w:rsidRPr="00E17C50" w:rsidRDefault="00E17C50" w:rsidP="00E17C50">
      <w:pPr>
        <w:pStyle w:val="1AMAFI"/>
        <w:numPr>
          <w:ilvl w:val="0"/>
          <w:numId w:val="0"/>
        </w:numPr>
        <w:tabs>
          <w:tab w:val="left" w:pos="708"/>
        </w:tabs>
        <w:rPr>
          <w:rFonts w:ascii="Georgia" w:hAnsi="Georgia"/>
          <w:b/>
        </w:rPr>
      </w:pPr>
      <w:r>
        <w:rPr>
          <w:rFonts w:ascii="Georgia" w:hAnsi="Georgia"/>
          <w:b/>
        </w:rPr>
        <w:t>Introductory remarks</w:t>
      </w:r>
    </w:p>
    <w:p w:rsidR="00E17C50" w:rsidRDefault="00E17C50" w:rsidP="00C7564E"/>
    <w:p w:rsidR="00B2112A" w:rsidRDefault="00B2112A" w:rsidP="00B2112A">
      <w:pPr>
        <w:jc w:val="both"/>
      </w:pPr>
      <w:r>
        <w:t>AMAFI agrees with most of the technical analysis provided by ESMA concerning the FX NDFs, as e</w:t>
      </w:r>
      <w:r>
        <w:t>x</w:t>
      </w:r>
      <w:r>
        <w:t>pressed in our a</w:t>
      </w:r>
      <w:r>
        <w:t>n</w:t>
      </w:r>
      <w:r>
        <w:t>swers to your questions hereinafter.</w:t>
      </w:r>
    </w:p>
    <w:p w:rsidR="00B2112A" w:rsidRDefault="00B2112A" w:rsidP="00E25E47">
      <w:pPr>
        <w:jc w:val="both"/>
      </w:pPr>
    </w:p>
    <w:p w:rsidR="00E25E47" w:rsidRPr="00E25E47" w:rsidRDefault="00B2112A" w:rsidP="00E25E47">
      <w:pPr>
        <w:jc w:val="both"/>
      </w:pPr>
      <w:r w:rsidRPr="00B2112A">
        <w:rPr>
          <w:b/>
        </w:rPr>
        <w:t xml:space="preserve">However; </w:t>
      </w:r>
      <w:r w:rsidR="00E25E47" w:rsidRPr="00B2112A">
        <w:rPr>
          <w:b/>
        </w:rPr>
        <w:t xml:space="preserve">AMAFI </w:t>
      </w:r>
      <w:r w:rsidR="00215F00" w:rsidRPr="00B2112A">
        <w:rPr>
          <w:b/>
        </w:rPr>
        <w:t xml:space="preserve">questions the opportunity to set up a </w:t>
      </w:r>
      <w:r w:rsidR="00E25E47" w:rsidRPr="00B2112A">
        <w:rPr>
          <w:b/>
        </w:rPr>
        <w:t>clearing obligation</w:t>
      </w:r>
      <w:r w:rsidR="008318E7" w:rsidRPr="00B2112A">
        <w:rPr>
          <w:b/>
        </w:rPr>
        <w:t xml:space="preserve"> on FX NDF</w:t>
      </w:r>
      <w:r w:rsidR="00F26DD1" w:rsidRPr="00B2112A">
        <w:rPr>
          <w:b/>
        </w:rPr>
        <w:t>s</w:t>
      </w:r>
      <w:r w:rsidR="00E25E47" w:rsidRPr="00B2112A">
        <w:rPr>
          <w:b/>
        </w:rPr>
        <w:t xml:space="preserve"> </w:t>
      </w:r>
      <w:r w:rsidR="00215F00" w:rsidRPr="00B2112A">
        <w:rPr>
          <w:b/>
        </w:rPr>
        <w:t>as of today</w:t>
      </w:r>
      <w:r w:rsidR="00215F00">
        <w:t xml:space="preserve"> </w:t>
      </w:r>
      <w:r w:rsidR="00E25E47">
        <w:t>for the follo</w:t>
      </w:r>
      <w:r w:rsidR="00E25E47">
        <w:t>w</w:t>
      </w:r>
      <w:r w:rsidR="00E25E47">
        <w:t>ing reasons:</w:t>
      </w:r>
    </w:p>
    <w:p w:rsidR="00E25E47" w:rsidRPr="00E25E47" w:rsidRDefault="00E25E47" w:rsidP="00E25E47"/>
    <w:p w:rsidR="00A84173" w:rsidRPr="00E25E47" w:rsidRDefault="00296EE9" w:rsidP="00FC3B24">
      <w:pPr>
        <w:pStyle w:val="Paragraphedeliste"/>
        <w:numPr>
          <w:ilvl w:val="0"/>
          <w:numId w:val="42"/>
        </w:numPr>
        <w:jc w:val="both"/>
      </w:pPr>
      <w:r w:rsidRPr="00B2112A">
        <w:rPr>
          <w:b/>
        </w:rPr>
        <w:t xml:space="preserve">FX NDFs </w:t>
      </w:r>
      <w:r w:rsidR="00215F00" w:rsidRPr="00B2112A">
        <w:rPr>
          <w:b/>
        </w:rPr>
        <w:t>do not raise any significant systemic risks</w:t>
      </w:r>
      <w:r w:rsidR="00215F00">
        <w:t xml:space="preserve"> and represent a rather marginal asset class. </w:t>
      </w:r>
      <w:r w:rsidRPr="00E25E47">
        <w:t>FX NDF</w:t>
      </w:r>
      <w:r w:rsidR="00F26DD1">
        <w:t>s</w:t>
      </w:r>
      <w:r w:rsidRPr="00E25E47">
        <w:t xml:space="preserve"> market, </w:t>
      </w:r>
      <w:r w:rsidR="00A84173" w:rsidRPr="00E25E47">
        <w:t>albeit</w:t>
      </w:r>
      <w:r w:rsidRPr="00E25E47">
        <w:t xml:space="preserve"> important, is a relatively small component of the whole FX over-the-counter market – constituting only 2.7% of the market, according to the April 2013 Bank for International Settlements triennial survey. </w:t>
      </w:r>
      <w:r w:rsidR="00FC3B24">
        <w:t>T</w:t>
      </w:r>
      <w:r w:rsidRPr="00E25E47">
        <w:t>hese FX NDFs</w:t>
      </w:r>
      <w:r w:rsidR="00E16FD6">
        <w:t xml:space="preserve"> generally</w:t>
      </w:r>
      <w:r w:rsidRPr="00E25E47">
        <w:t xml:space="preserve"> present a rather poor liqui</w:t>
      </w:r>
      <w:r w:rsidRPr="00E25E47">
        <w:t>d</w:t>
      </w:r>
      <w:r w:rsidRPr="00E25E47">
        <w:t>ity (notably for longer tenors), which is linked to the fact that the currency pairs often involve emer</w:t>
      </w:r>
      <w:r w:rsidRPr="00E25E47">
        <w:t>g</w:t>
      </w:r>
      <w:r w:rsidRPr="00E25E47">
        <w:t xml:space="preserve">ing market currencies. </w:t>
      </w:r>
    </w:p>
    <w:p w:rsidR="00A84173" w:rsidRPr="00E25E47" w:rsidRDefault="00A84173" w:rsidP="00E25E47">
      <w:pPr>
        <w:jc w:val="both"/>
      </w:pPr>
    </w:p>
    <w:p w:rsidR="00AE59D8" w:rsidRDefault="00FC3B24" w:rsidP="00AE59D8">
      <w:pPr>
        <w:pStyle w:val="Paragraphedeliste"/>
        <w:numPr>
          <w:ilvl w:val="0"/>
          <w:numId w:val="42"/>
        </w:numPr>
        <w:jc w:val="both"/>
      </w:pPr>
      <w:r w:rsidRPr="00B2112A">
        <w:rPr>
          <w:b/>
        </w:rPr>
        <w:t>FX NDFs are not widely cleared</w:t>
      </w:r>
      <w:r>
        <w:t>. There is only one</w:t>
      </w:r>
      <w:r w:rsidR="00AE59D8" w:rsidRPr="00E25E47">
        <w:t xml:space="preserve"> single European CCP (i.e. LCH </w:t>
      </w:r>
      <w:proofErr w:type="spellStart"/>
      <w:r w:rsidR="00AE59D8" w:rsidRPr="00E25E47">
        <w:t>Clearnet</w:t>
      </w:r>
      <w:proofErr w:type="spellEnd"/>
      <w:r w:rsidR="00AE59D8" w:rsidRPr="00E25E47">
        <w:t xml:space="preserve"> Ltd) at the </w:t>
      </w:r>
      <w:r w:rsidR="00E16FD6">
        <w:t>outset</w:t>
      </w:r>
      <w:r w:rsidR="00AE59D8" w:rsidRPr="00E25E47">
        <w:t xml:space="preserve"> of the clearing obligation pro</w:t>
      </w:r>
      <w:r w:rsidR="00E16FD6">
        <w:t>cedure. D</w:t>
      </w:r>
      <w:r w:rsidR="00E16FD6" w:rsidRPr="00C53CC8">
        <w:t>espite ESMA</w:t>
      </w:r>
      <w:r w:rsidR="00E16FD6">
        <w:t>’s</w:t>
      </w:r>
      <w:r w:rsidR="00E16FD6" w:rsidRPr="00C53CC8">
        <w:t xml:space="preserve"> statements to the contrary, we do not have sufficient assurance that at least 2 authorised / recognised CCPs will offer these services in the near future</w:t>
      </w:r>
      <w:r w:rsidR="00AE59D8" w:rsidRPr="00E25E47">
        <w:t xml:space="preserve">. </w:t>
      </w:r>
    </w:p>
    <w:p w:rsidR="002618C7" w:rsidRPr="00E25E47" w:rsidRDefault="002618C7" w:rsidP="002618C7">
      <w:pPr>
        <w:jc w:val="both"/>
      </w:pPr>
    </w:p>
    <w:p w:rsidR="00215F00" w:rsidRDefault="00AE59D8" w:rsidP="00AE59D8">
      <w:pPr>
        <w:pStyle w:val="Paragraphedeliste"/>
        <w:jc w:val="both"/>
      </w:pPr>
      <w:r>
        <w:t>In addition,</w:t>
      </w:r>
      <w:r w:rsidR="0032482D">
        <w:t xml:space="preserve"> currently there are only</w:t>
      </w:r>
      <w:r w:rsidR="00215F00" w:rsidRPr="00E25E47">
        <w:t xml:space="preserve"> 20 clearing members clearing </w:t>
      </w:r>
      <w:r w:rsidR="0032482D">
        <w:t xml:space="preserve">those instruments </w:t>
      </w:r>
      <w:r w:rsidR="00215F00" w:rsidRPr="00E25E47">
        <w:t xml:space="preserve">through LCH.Clearnet Ltd, of which only two </w:t>
      </w:r>
      <w:r w:rsidR="0032482D">
        <w:t xml:space="preserve">of them </w:t>
      </w:r>
      <w:r w:rsidR="00215F00" w:rsidRPr="00E25E47">
        <w:t>s</w:t>
      </w:r>
      <w:r w:rsidR="00FC3B24">
        <w:t>upport client clearing activity</w:t>
      </w:r>
      <w:r w:rsidR="00215F00">
        <w:t xml:space="preserve">, while for instance, </w:t>
      </w:r>
      <w:r w:rsidR="00296EE9" w:rsidRPr="00E25E47">
        <w:t xml:space="preserve">for interest rate </w:t>
      </w:r>
      <w:r w:rsidR="0032482D">
        <w:t xml:space="preserve">OTC </w:t>
      </w:r>
      <w:r w:rsidR="00296EE9" w:rsidRPr="00E25E47">
        <w:t>derivatives, there are a total of 110 clearing members,</w:t>
      </w:r>
      <w:r w:rsidR="00FC3B24">
        <w:t xml:space="preserve"> clearing through five CCPs</w:t>
      </w:r>
      <w:r w:rsidR="00215F00">
        <w:t>.</w:t>
      </w:r>
    </w:p>
    <w:p w:rsidR="0032482D" w:rsidRDefault="0032482D" w:rsidP="00AE59D8">
      <w:pPr>
        <w:pStyle w:val="Paragraphedeliste"/>
        <w:jc w:val="both"/>
      </w:pPr>
    </w:p>
    <w:p w:rsidR="00AE59D8" w:rsidRDefault="00A84173" w:rsidP="00215F00">
      <w:pPr>
        <w:pStyle w:val="Paragraphedeliste"/>
        <w:jc w:val="both"/>
      </w:pPr>
      <w:r w:rsidRPr="00E25E47">
        <w:t>There</w:t>
      </w:r>
      <w:r w:rsidR="00296EE9" w:rsidRPr="00E25E47">
        <w:t>fore</w:t>
      </w:r>
      <w:r w:rsidRPr="00E25E47">
        <w:t>,</w:t>
      </w:r>
      <w:r w:rsidR="00296EE9" w:rsidRPr="00E25E47">
        <w:t xml:space="preserve"> </w:t>
      </w:r>
      <w:r w:rsidR="00FC3B24">
        <w:t xml:space="preserve">it means that about </w:t>
      </w:r>
      <w:r w:rsidR="0032482D">
        <w:t>a hundred</w:t>
      </w:r>
      <w:r w:rsidR="00FC3B24">
        <w:t xml:space="preserve"> fin</w:t>
      </w:r>
      <w:r w:rsidR="002618C7">
        <w:t>ancial institutions, which fall</w:t>
      </w:r>
      <w:r w:rsidR="00FC3B24">
        <w:t xml:space="preserve"> </w:t>
      </w:r>
      <w:r w:rsidR="0032482D">
        <w:t>under</w:t>
      </w:r>
      <w:r w:rsidR="00FC3B24">
        <w:t xml:space="preserve"> category 1 b</w:t>
      </w:r>
      <w:r w:rsidR="00FC3B24">
        <w:t>e</w:t>
      </w:r>
      <w:r w:rsidR="00FC3B24">
        <w:t xml:space="preserve">cause they are </w:t>
      </w:r>
      <w:r w:rsidR="0032482D">
        <w:t>clearing members</w:t>
      </w:r>
      <w:r w:rsidR="00FC3B24">
        <w:t xml:space="preserve"> for interest rate OTC derivatives, will have to find a direct or i</w:t>
      </w:r>
      <w:r w:rsidR="00FC3B24">
        <w:t>n</w:t>
      </w:r>
      <w:r w:rsidR="00FC3B24">
        <w:t xml:space="preserve">direct clearing solution for FX NDFs products in a very short timeframe, which </w:t>
      </w:r>
      <w:r w:rsidR="0032482D">
        <w:t>is almost imposs</w:t>
      </w:r>
      <w:r w:rsidR="0032482D">
        <w:t>i</w:t>
      </w:r>
      <w:r w:rsidR="0032482D">
        <w:t>ble given all the processes necessary to obtain such a status</w:t>
      </w:r>
      <w:r w:rsidR="00296EE9" w:rsidRPr="00E25E47">
        <w:t xml:space="preserve">. </w:t>
      </w:r>
    </w:p>
    <w:p w:rsidR="00A84173" w:rsidRDefault="00A84173" w:rsidP="006879A8">
      <w:pPr>
        <w:jc w:val="both"/>
      </w:pPr>
    </w:p>
    <w:p w:rsidR="00E25E47" w:rsidRDefault="00AE59D8" w:rsidP="00BF0E85">
      <w:pPr>
        <w:jc w:val="both"/>
      </w:pPr>
      <w:r>
        <w:t>As a consequence</w:t>
      </w:r>
      <w:r w:rsidR="00E25E47">
        <w:t>, AMAFI</w:t>
      </w:r>
      <w:r w:rsidR="00E25E47" w:rsidRPr="00E25E47">
        <w:t xml:space="preserve"> proposes to </w:t>
      </w:r>
      <w:r w:rsidR="00E25E47" w:rsidRPr="00B2112A">
        <w:rPr>
          <w:b/>
        </w:rPr>
        <w:t>post</w:t>
      </w:r>
      <w:r w:rsidR="00F26DD1" w:rsidRPr="00B2112A">
        <w:rPr>
          <w:b/>
        </w:rPr>
        <w:t>pone the clearing obligation</w:t>
      </w:r>
      <w:r w:rsidR="00F26DD1">
        <w:t xml:space="preserve"> on FX NDFs</w:t>
      </w:r>
      <w:r w:rsidR="00E25E47" w:rsidRPr="00E25E47">
        <w:t xml:space="preserve"> until </w:t>
      </w:r>
      <w:r w:rsidR="00B2112A">
        <w:t xml:space="preserve">at least </w:t>
      </w:r>
      <w:r w:rsidR="00E25E47" w:rsidRPr="00E25E47">
        <w:t>the fo</w:t>
      </w:r>
      <w:r w:rsidR="00E25E47" w:rsidRPr="00E25E47">
        <w:t>l</w:t>
      </w:r>
      <w:r w:rsidR="00E25E47" w:rsidRPr="00E25E47">
        <w:t>lowing conditions are fulfilled: (i) at least two European CCPs propose to clear FX NDFs asset classes, (ii) the number of clearing members clearing FX NDFs and supporting client clearing activity significantly increases (even if we do not request for an increase up to the level of the IRS asset classes), (iii) the i</w:t>
      </w:r>
      <w:r w:rsidR="00E25E47" w:rsidRPr="00E25E47">
        <w:t>m</w:t>
      </w:r>
      <w:r w:rsidR="00E25E47" w:rsidRPr="00E25E47">
        <w:t xml:space="preserve">provement of the liquidity of such asset classes, whatever the tenors, and (iv) </w:t>
      </w:r>
      <w:r w:rsidR="00E16FD6" w:rsidRPr="00C53CC8">
        <w:t xml:space="preserve">it can be better demonstrated by ESMA </w:t>
      </w:r>
      <w:r w:rsidR="00E16FD6">
        <w:t>that there is a</w:t>
      </w:r>
      <w:r w:rsidR="00E25E47" w:rsidRPr="00E25E47">
        <w:t xml:space="preserve"> systemic risk </w:t>
      </w:r>
      <w:r w:rsidR="00E16FD6" w:rsidRPr="00C53CC8">
        <w:t>linked to the trading on FX NDFs</w:t>
      </w:r>
      <w:r w:rsidR="00E25E47" w:rsidRPr="00E25E47">
        <w:t>.</w:t>
      </w:r>
    </w:p>
    <w:p w:rsidR="00C7564E" w:rsidRDefault="00016337" w:rsidP="00C7564E">
      <w:r w:rsidRPr="00213D8C">
        <w:lastRenderedPageBreak/>
        <w:t>.</w:t>
      </w:r>
      <w:permEnd w:id="3"/>
      <w:r w:rsidR="00C7564E">
        <w:t>&lt;ESMA_CO3_COMMENT_1&gt;</w:t>
      </w:r>
    </w:p>
    <w:p w:rsidR="00CC1C71" w:rsidRPr="0058137B" w:rsidRDefault="00CC1C71" w:rsidP="00CC1C71">
      <w:pPr>
        <w:pStyle w:val="Titre2"/>
        <w:keepLines w:val="0"/>
        <w:pageBreakBefore/>
        <w:numPr>
          <w:ilvl w:val="0"/>
          <w:numId w:val="36"/>
        </w:numPr>
        <w:spacing w:before="0" w:after="250" w:line="276" w:lineRule="auto"/>
        <w:ind w:left="357" w:hanging="357"/>
        <w:jc w:val="both"/>
      </w:pPr>
      <w:r w:rsidRPr="0058137B">
        <w:lastRenderedPageBreak/>
        <w:t>The clearing obligation procedure</w:t>
      </w:r>
      <w:bookmarkStart w:id="7" w:name="_Toc390952336"/>
      <w:bookmarkStart w:id="8" w:name="_Toc391310566"/>
      <w:bookmarkStart w:id="9" w:name="_Toc391310591"/>
      <w:bookmarkStart w:id="10" w:name="_Toc391310651"/>
      <w:bookmarkStart w:id="11" w:name="_Toc391313043"/>
      <w:bookmarkEnd w:id="5"/>
      <w:bookmarkEnd w:id="6"/>
      <w:bookmarkEnd w:id="7"/>
      <w:bookmarkEnd w:id="8"/>
      <w:bookmarkEnd w:id="9"/>
      <w:bookmarkEnd w:id="10"/>
      <w:bookmarkEnd w:id="11"/>
    </w:p>
    <w:p w:rsidR="00CC1C71" w:rsidRDefault="00CC1C71" w:rsidP="00CC1C71"/>
    <w:p w:rsidR="00CC1C71" w:rsidRDefault="00CC1C71" w:rsidP="00CC1C71">
      <w:pPr>
        <w:pStyle w:val="Titre5"/>
      </w:pPr>
      <w:r>
        <w:t>Do you have any comment on the clearing obligation procedure described in Section 1?</w:t>
      </w:r>
    </w:p>
    <w:p w:rsidR="00CC1C71" w:rsidRDefault="00CC1C71" w:rsidP="00CC1C71"/>
    <w:p w:rsidR="00CC1C71" w:rsidRDefault="00CC1C71" w:rsidP="00CC1C71">
      <w:r>
        <w:t>&lt;ESMA_CO3_QUESTION_1&gt;</w:t>
      </w:r>
    </w:p>
    <w:p w:rsidR="00016337" w:rsidRDefault="00016337" w:rsidP="00E17C50">
      <w:pPr>
        <w:jc w:val="both"/>
      </w:pPr>
      <w:permStart w:id="4" w:edGrp="everyone"/>
      <w:r>
        <w:t xml:space="preserve">AMAFI </w:t>
      </w:r>
      <w:r w:rsidR="00E16FD6">
        <w:t>supports</w:t>
      </w:r>
      <w:r>
        <w:t xml:space="preserve"> ESMA’s approach, which consists in grouping the analysis of the notified classes of OTC derivatives so as to minimise the set of consultation papers </w:t>
      </w:r>
      <w:r w:rsidR="00331825">
        <w:t>according to</w:t>
      </w:r>
      <w:r>
        <w:t xml:space="preserve"> </w:t>
      </w:r>
      <w:r w:rsidR="00331825">
        <w:t xml:space="preserve">the number of </w:t>
      </w:r>
      <w:r>
        <w:t>asset-class</w:t>
      </w:r>
      <w:r w:rsidR="00331825">
        <w:t>es</w:t>
      </w:r>
      <w:r>
        <w:t xml:space="preserve"> (i</w:t>
      </w:r>
      <w:r>
        <w:t>n</w:t>
      </w:r>
      <w:r>
        <w:t>terest rate, credit, foreign-exchange, equity, etc.).</w:t>
      </w:r>
    </w:p>
    <w:p w:rsidR="00016337" w:rsidRDefault="00016337" w:rsidP="00E17C50">
      <w:pPr>
        <w:tabs>
          <w:tab w:val="left" w:pos="2717"/>
        </w:tabs>
        <w:jc w:val="both"/>
      </w:pPr>
      <w:r>
        <w:tab/>
      </w:r>
    </w:p>
    <w:p w:rsidR="00016337" w:rsidRDefault="00016337" w:rsidP="00E17C50">
      <w:pPr>
        <w:jc w:val="both"/>
      </w:pPr>
      <w:r>
        <w:t xml:space="preserve">We consider this approach to be convenient and efficient. </w:t>
      </w:r>
    </w:p>
    <w:p w:rsidR="00016337" w:rsidRDefault="00016337" w:rsidP="00E17C50">
      <w:pPr>
        <w:jc w:val="both"/>
      </w:pPr>
    </w:p>
    <w:p w:rsidR="00016337" w:rsidRDefault="00016337" w:rsidP="00E17C50">
      <w:pPr>
        <w:jc w:val="both"/>
      </w:pPr>
      <w:r>
        <w:t>The opposite approach, with a submission of separate draft RTS on the clearing obligation upon each CCP authorisation, would not be adapted to the stakeholders’ operational and regulatory constraints nor to the applicable deadlines to be complied with.</w:t>
      </w:r>
    </w:p>
    <w:p w:rsidR="00016337" w:rsidRDefault="00016337" w:rsidP="00E17C50">
      <w:pPr>
        <w:jc w:val="both"/>
      </w:pPr>
    </w:p>
    <w:p w:rsidR="00016337" w:rsidRDefault="00016337" w:rsidP="00E17C50">
      <w:pPr>
        <w:jc w:val="both"/>
      </w:pPr>
      <w:r>
        <w:t>We recommend the adoption of the same grouping approach should further sub-classes of an asset class be considered for mandatory clearing in the future.</w:t>
      </w:r>
    </w:p>
    <w:permEnd w:id="4"/>
    <w:p w:rsidR="00CC1C71" w:rsidRDefault="00CC1C71" w:rsidP="00CC1C71">
      <w:r>
        <w:t>&lt;ESMA_CO3_QUESTION_1&gt;</w:t>
      </w:r>
    </w:p>
    <w:p w:rsidR="00CC1C71" w:rsidRDefault="00CC1C71" w:rsidP="00CC1C71"/>
    <w:p w:rsidR="00CC1C71" w:rsidRDefault="00CC1C71" w:rsidP="00CC1C71">
      <w:pPr>
        <w:pStyle w:val="Titre2"/>
        <w:keepLines w:val="0"/>
        <w:pageBreakBefore/>
        <w:numPr>
          <w:ilvl w:val="0"/>
          <w:numId w:val="36"/>
        </w:numPr>
        <w:spacing w:before="0" w:after="250" w:line="276" w:lineRule="auto"/>
        <w:ind w:left="357" w:hanging="357"/>
        <w:jc w:val="both"/>
      </w:pPr>
      <w:bookmarkStart w:id="12" w:name="_Ref392685388"/>
      <w:bookmarkStart w:id="13" w:name="_Toc398140745"/>
      <w:r>
        <w:lastRenderedPageBreak/>
        <w:t>Structure of the non-deliverable forward derivatives classes</w:t>
      </w:r>
      <w:bookmarkEnd w:id="12"/>
      <w:bookmarkEnd w:id="13"/>
    </w:p>
    <w:p w:rsidR="00CC1C71" w:rsidRDefault="00CC1C71" w:rsidP="00CC1C71"/>
    <w:p w:rsidR="00CC1C71" w:rsidRPr="0075124D" w:rsidRDefault="00CC1C71" w:rsidP="00CC1C71">
      <w:pPr>
        <w:pStyle w:val="Titre5"/>
      </w:pPr>
      <w:r w:rsidRPr="0075124D">
        <w:t>Do you consider that the proposed structure for the FX NDF classes enables cou</w:t>
      </w:r>
      <w:r w:rsidRPr="0075124D">
        <w:t>n</w:t>
      </w:r>
      <w:r w:rsidRPr="0075124D">
        <w:t>terparties to identify which contracts are subject to the clearing obligation?</w:t>
      </w:r>
    </w:p>
    <w:p w:rsidR="00CC1C71" w:rsidRDefault="00CC1C71" w:rsidP="00CC1C71"/>
    <w:p w:rsidR="00CC1C71" w:rsidRDefault="00CC1C71" w:rsidP="00CC1C71">
      <w:r>
        <w:t>&lt;ESMA_CO3_QUESTION_2&gt;</w:t>
      </w:r>
    </w:p>
    <w:p w:rsidR="00016337" w:rsidRDefault="00016337" w:rsidP="00016337">
      <w:pPr>
        <w:jc w:val="both"/>
      </w:pPr>
      <w:permStart w:id="5" w:edGrp="everyone"/>
      <w:r>
        <w:t>Yes.</w:t>
      </w:r>
      <w:r w:rsidRPr="00B1673A">
        <w:t xml:space="preserve"> </w:t>
      </w:r>
      <w:r>
        <w:t>AMAFI</w:t>
      </w:r>
      <w:r w:rsidRPr="00B1673A">
        <w:t xml:space="preserve"> consider</w:t>
      </w:r>
      <w:r>
        <w:t>s</w:t>
      </w:r>
      <w:r w:rsidRPr="00B1673A">
        <w:t xml:space="preserve"> that the proposed structure for the </w:t>
      </w:r>
      <w:r>
        <w:t>foreign exchange non-deliverable forwards (FX NDF) c</w:t>
      </w:r>
      <w:r w:rsidRPr="00B1673A">
        <w:t>lasses enables counterparties to identify which contracts are subject to the clearing obligation.</w:t>
      </w:r>
      <w:r>
        <w:t xml:space="preserve"> </w:t>
      </w:r>
    </w:p>
    <w:p w:rsidR="00016337" w:rsidRDefault="00016337" w:rsidP="00016337">
      <w:pPr>
        <w:ind w:firstLine="709"/>
        <w:jc w:val="both"/>
      </w:pPr>
    </w:p>
    <w:p w:rsidR="00016337" w:rsidRDefault="00016337" w:rsidP="00016337">
      <w:pPr>
        <w:jc w:val="both"/>
      </w:pPr>
      <w:r>
        <w:t xml:space="preserve">More precisely, we agree with (i) the proposed clarified definitions for both FX NDF (cash-settled) and FX physically-settled forwards and (ii) the identification details (i.e. type, currency pair, settlement currency, settlement type and maturity) attached to the FX NDF subject to clearing obligation in this consultation paper. </w:t>
      </w:r>
    </w:p>
    <w:permEnd w:id="5"/>
    <w:p w:rsidR="00CC1C71" w:rsidRDefault="00CC1C71" w:rsidP="00CC1C71">
      <w:r>
        <w:t>&lt;ESMA_CO3_QUESTION_2&gt;</w:t>
      </w:r>
    </w:p>
    <w:p w:rsidR="00CC1C71" w:rsidRDefault="00CC1C71" w:rsidP="00CC1C71"/>
    <w:p w:rsidR="00CC1C71" w:rsidRPr="00A84770" w:rsidRDefault="00CC1C71" w:rsidP="00CC1C71">
      <w:pPr>
        <w:pStyle w:val="Titre2"/>
        <w:keepLines w:val="0"/>
        <w:pageBreakBefore/>
        <w:numPr>
          <w:ilvl w:val="0"/>
          <w:numId w:val="36"/>
        </w:numPr>
        <w:spacing w:before="0" w:after="250" w:line="276" w:lineRule="auto"/>
        <w:ind w:left="357" w:hanging="357"/>
        <w:jc w:val="both"/>
      </w:pPr>
      <w:bookmarkStart w:id="14" w:name="_Toc389466262"/>
      <w:bookmarkStart w:id="15" w:name="_Toc389496893"/>
      <w:bookmarkStart w:id="16" w:name="_Toc398140746"/>
      <w:r>
        <w:t>Determination of the classes</w:t>
      </w:r>
      <w:r w:rsidRPr="00A84770">
        <w:t xml:space="preserve"> of OTC </w:t>
      </w:r>
      <w:r>
        <w:t>d</w:t>
      </w:r>
      <w:r w:rsidRPr="00A84770">
        <w:t>erivatives to be subject to the clearing obligation</w:t>
      </w:r>
      <w:bookmarkEnd w:id="14"/>
      <w:bookmarkEnd w:id="15"/>
      <w:bookmarkEnd w:id="16"/>
    </w:p>
    <w:p w:rsidR="00CC1C71" w:rsidRDefault="00CC1C71" w:rsidP="00CC1C71"/>
    <w:p w:rsidR="00CC1C71" w:rsidRDefault="00CC1C71" w:rsidP="00CC1C71">
      <w:pPr>
        <w:pStyle w:val="Titre5"/>
      </w:pPr>
      <w:r>
        <w:t>In view of the criteria set in Article 5(4) of EMIR, do you consider that the determ</w:t>
      </w:r>
      <w:r>
        <w:t>i</w:t>
      </w:r>
      <w:r>
        <w:t xml:space="preserve">nation of this class addresses appropriately the objective of reduction of the systemic risk associated to NDF derivatives? </w:t>
      </w:r>
    </w:p>
    <w:p w:rsidR="00CC1C71" w:rsidRDefault="00CC1C71" w:rsidP="00CC1C71"/>
    <w:p w:rsidR="00CC1C71" w:rsidRDefault="00CC1C71" w:rsidP="00CC1C71">
      <w:r>
        <w:t>&lt;ESMA_CO3_QUESTION_3&gt;</w:t>
      </w:r>
    </w:p>
    <w:p w:rsidR="00016337" w:rsidRDefault="00D60546" w:rsidP="00016337">
      <w:pPr>
        <w:jc w:val="both"/>
      </w:pPr>
      <w:permStart w:id="6" w:edGrp="everyone"/>
      <w:r>
        <w:t>Please see our introductory comments</w:t>
      </w:r>
      <w:r w:rsidR="00016337">
        <w:t xml:space="preserve">. </w:t>
      </w:r>
      <w:r w:rsidR="00A14362">
        <w:t>AMAFI</w:t>
      </w:r>
      <w:r w:rsidR="00016337">
        <w:t xml:space="preserve"> </w:t>
      </w:r>
      <w:r>
        <w:t xml:space="preserve">is not convinced of the existence of proven </w:t>
      </w:r>
      <w:r>
        <w:t>systemic</w:t>
      </w:r>
      <w:r>
        <w:t xml:space="preserve"> risk which justifies the introduction of an immediate </w:t>
      </w:r>
      <w:r>
        <w:t>clearing obligation for FX NDFs</w:t>
      </w:r>
      <w:r w:rsidR="00016337">
        <w:t xml:space="preserve">. </w:t>
      </w:r>
    </w:p>
    <w:p w:rsidR="00016337" w:rsidRDefault="00016337" w:rsidP="00016337">
      <w:pPr>
        <w:jc w:val="both"/>
      </w:pPr>
    </w:p>
    <w:p w:rsidR="00016337" w:rsidRPr="00A14362" w:rsidRDefault="00D60546" w:rsidP="00016337">
      <w:pPr>
        <w:jc w:val="both"/>
      </w:pPr>
      <w:r>
        <w:t xml:space="preserve">Therefore, </w:t>
      </w:r>
      <w:r w:rsidR="00E17C50">
        <w:t>AMAFI</w:t>
      </w:r>
      <w:r w:rsidR="00016337" w:rsidRPr="00A14362">
        <w:t xml:space="preserve"> co</w:t>
      </w:r>
      <w:r w:rsidR="00016337" w:rsidRPr="00A14362">
        <w:t>n</w:t>
      </w:r>
      <w:r w:rsidR="00016337" w:rsidRPr="00A14362">
        <w:t xml:space="preserve">siders that ESMA should postpone the clearing obligation imposed on the FX NDF classes mentioned in the Consultation Paper </w:t>
      </w:r>
      <w:r w:rsidR="00331825">
        <w:t>until a</w:t>
      </w:r>
      <w:r w:rsidR="00016337" w:rsidRPr="00A14362">
        <w:t xml:space="preserve"> later stage. </w:t>
      </w:r>
    </w:p>
    <w:p w:rsidR="00016337" w:rsidRDefault="00016337" w:rsidP="00016337">
      <w:pPr>
        <w:jc w:val="both"/>
      </w:pPr>
    </w:p>
    <w:p w:rsidR="00727755" w:rsidRDefault="00016337" w:rsidP="00016337">
      <w:pPr>
        <w:jc w:val="both"/>
      </w:pPr>
      <w:r w:rsidRPr="00A14362">
        <w:t xml:space="preserve">This request is </w:t>
      </w:r>
      <w:r w:rsidR="00727755">
        <w:t>even more</w:t>
      </w:r>
      <w:r w:rsidRPr="00A14362">
        <w:t xml:space="preserve"> justified by the fact that </w:t>
      </w:r>
      <w:r>
        <w:t xml:space="preserve">the clearing obligation may </w:t>
      </w:r>
      <w:r w:rsidRPr="00A14362">
        <w:t xml:space="preserve">also </w:t>
      </w:r>
      <w:r>
        <w:t>be challenged in the future for some FX NDF classes mentioned by ESMA. Indeed, in s</w:t>
      </w:r>
      <w:r w:rsidR="00727755">
        <w:t xml:space="preserve">ome emerging countries (e.g. </w:t>
      </w:r>
      <w:r>
        <w:t>Chil</w:t>
      </w:r>
      <w:r w:rsidR="00A14362">
        <w:t>e</w:t>
      </w:r>
      <w:r>
        <w:t xml:space="preserve">), market participants may decide in the future to favour physically-settled FX transactions instead of cash-settled FX transactions, </w:t>
      </w:r>
      <w:r w:rsidRPr="00643F9C">
        <w:t>either because there is a specific impediment for having such transactions cash-settled or even without such impediment because market participants of such countries want to avoid any clearing obligation</w:t>
      </w:r>
      <w:r>
        <w:t xml:space="preserve">. </w:t>
      </w:r>
    </w:p>
    <w:p w:rsidR="00331825" w:rsidRDefault="00331825" w:rsidP="00016337">
      <w:pPr>
        <w:jc w:val="both"/>
      </w:pPr>
    </w:p>
    <w:p w:rsidR="00016337" w:rsidRDefault="00016337" w:rsidP="00016337">
      <w:pPr>
        <w:jc w:val="both"/>
      </w:pPr>
      <w:r>
        <w:t>Besides, as it is recalled in the Consultation Paper, “</w:t>
      </w:r>
      <w:r w:rsidRPr="0097677A">
        <w:rPr>
          <w:i/>
        </w:rPr>
        <w:t>the sustainability of the NDF market is closely inte</w:t>
      </w:r>
      <w:r w:rsidRPr="0097677A">
        <w:rPr>
          <w:i/>
        </w:rPr>
        <w:t>r</w:t>
      </w:r>
      <w:r w:rsidRPr="0097677A">
        <w:rPr>
          <w:i/>
        </w:rPr>
        <w:t xml:space="preserve">connected with the regulatory framework and monetary decisions of </w:t>
      </w:r>
      <w:r>
        <w:rPr>
          <w:i/>
        </w:rPr>
        <w:t>t</w:t>
      </w:r>
      <w:r w:rsidRPr="0097677A">
        <w:rPr>
          <w:i/>
        </w:rPr>
        <w:t>he respective emerging-market countries</w:t>
      </w:r>
      <w:r>
        <w:t>”, which implies that the viability of the FX NDF market may be challenged in the future depen</w:t>
      </w:r>
      <w:r>
        <w:t>d</w:t>
      </w:r>
      <w:r>
        <w:t>ing on the regulatory and monetary decisions adopted (notably in such emerging markets). For all these reasons, the liquidity of some FX NDF classes (which is one of the criteria retained for triggering the clearing obligation)</w:t>
      </w:r>
      <w:r w:rsidRPr="00A14362">
        <w:t>, which is rather poor at this stage,</w:t>
      </w:r>
      <w:r>
        <w:t xml:space="preserve"> </w:t>
      </w:r>
      <w:proofErr w:type="gramStart"/>
      <w:r>
        <w:t>may</w:t>
      </w:r>
      <w:proofErr w:type="gramEnd"/>
      <w:r>
        <w:t xml:space="preserve"> </w:t>
      </w:r>
      <w:r w:rsidR="00BC4F2D">
        <w:t>further</w:t>
      </w:r>
      <w:r w:rsidRPr="00A14362">
        <w:t xml:space="preserve"> </w:t>
      </w:r>
      <w:r>
        <w:t xml:space="preserve">decrease (more or less) substantially </w:t>
      </w:r>
      <w:r w:rsidRPr="00A14362">
        <w:t>in the near future</w:t>
      </w:r>
      <w:r>
        <w:t>.</w:t>
      </w:r>
    </w:p>
    <w:permEnd w:id="6"/>
    <w:p w:rsidR="00CC1C71" w:rsidRDefault="00CC1C71" w:rsidP="00CC1C71">
      <w:r>
        <w:t>&lt;ESMA_CO3_QUESTION_3&gt;</w:t>
      </w:r>
    </w:p>
    <w:p w:rsidR="00CC1C71" w:rsidRDefault="00CC1C71" w:rsidP="00CC1C71"/>
    <w:p w:rsidR="00CC1C71" w:rsidRDefault="00CC1C71" w:rsidP="00CC1C71">
      <w:pPr>
        <w:pStyle w:val="Titre5"/>
      </w:pPr>
      <w:r>
        <w:t xml:space="preserve">For the currency pairs proposed for the clearing obligation on the NDF class, do you consider there are risks to include longer maturities, up to the 2 year tenor? </w:t>
      </w:r>
    </w:p>
    <w:p w:rsidR="00CC1C71" w:rsidRDefault="00CC1C71" w:rsidP="00CC1C71"/>
    <w:p w:rsidR="00CC1C71" w:rsidRDefault="00CC1C71" w:rsidP="00CC1C71">
      <w:r>
        <w:t>&lt;ESMA_CO3_QUESTION_4&gt;</w:t>
      </w:r>
    </w:p>
    <w:p w:rsidR="00331825" w:rsidRDefault="00331825" w:rsidP="00331825">
      <w:pPr>
        <w:jc w:val="both"/>
      </w:pPr>
      <w:permStart w:id="7" w:edGrp="everyone"/>
      <w:r>
        <w:t>AMAFI</w:t>
      </w:r>
      <w:r>
        <w:t xml:space="preserve"> understand</w:t>
      </w:r>
      <w:r>
        <w:t>s</w:t>
      </w:r>
      <w:r>
        <w:t xml:space="preserve"> the rationale of ESMA for seeking to include trades of up to 2 year tenor in the clea</w:t>
      </w:r>
      <w:r>
        <w:t>r</w:t>
      </w:r>
      <w:r>
        <w:t xml:space="preserve">ing obligation. </w:t>
      </w:r>
    </w:p>
    <w:p w:rsidR="00331825" w:rsidRDefault="00331825" w:rsidP="00331825">
      <w:pPr>
        <w:jc w:val="both"/>
      </w:pPr>
    </w:p>
    <w:p w:rsidR="00A14362" w:rsidRDefault="00331825" w:rsidP="00331825">
      <w:pPr>
        <w:jc w:val="both"/>
      </w:pPr>
      <w:r>
        <w:t>However our understanding is that as of today the majority of FX NDF trades are concentrated in the less than one year bracket, indeed a majority are transactions of 3 to 6 months. We therefore query whether there would be sufficient liquidity for FX NDFs of a longer tenor to impose a clearing obligation and again refer to our introductory remarks that a clearing obligation should only apply when it is consi</w:t>
      </w:r>
      <w:r>
        <w:t>d</w:t>
      </w:r>
      <w:r>
        <w:t>ered there is sufficient liquidity for such trades</w:t>
      </w:r>
      <w:r w:rsidR="00016337" w:rsidRPr="00A14362">
        <w:t>.</w:t>
      </w:r>
    </w:p>
    <w:permEnd w:id="7"/>
    <w:p w:rsidR="00CC1C71" w:rsidRDefault="00CC1C71" w:rsidP="00CC1C71">
      <w:r>
        <w:t>&lt;ESMA_CO3_QUESTION_4&gt;</w:t>
      </w:r>
    </w:p>
    <w:p w:rsidR="00CC1C71" w:rsidRDefault="00CC1C71" w:rsidP="00CC1C71"/>
    <w:p w:rsidR="00CC1C71" w:rsidRDefault="00CC1C71" w:rsidP="00CC1C71">
      <w:pPr>
        <w:pStyle w:val="Titre2"/>
        <w:keepLines w:val="0"/>
        <w:pageBreakBefore/>
        <w:numPr>
          <w:ilvl w:val="0"/>
          <w:numId w:val="36"/>
        </w:numPr>
        <w:spacing w:before="0" w:after="250" w:line="276" w:lineRule="auto"/>
        <w:ind w:left="357" w:hanging="357"/>
        <w:jc w:val="both"/>
      </w:pPr>
      <w:bookmarkStart w:id="17" w:name="_Toc398140747"/>
      <w:r w:rsidRPr="00412C4C">
        <w:t xml:space="preserve">Determination of the </w:t>
      </w:r>
      <w:r>
        <w:t xml:space="preserve">dates on which the obligation applies and </w:t>
      </w:r>
      <w:r w:rsidRPr="00412C4C">
        <w:t>the categories of cou</w:t>
      </w:r>
      <w:r w:rsidRPr="00412C4C">
        <w:t>n</w:t>
      </w:r>
      <w:r w:rsidRPr="00412C4C">
        <w:t>terparties</w:t>
      </w:r>
      <w:bookmarkEnd w:id="17"/>
    </w:p>
    <w:p w:rsidR="00CC1C71" w:rsidRDefault="00CC1C71" w:rsidP="00CC1C71"/>
    <w:p w:rsidR="00CC1C71" w:rsidRPr="00284213" w:rsidRDefault="00CC1C71" w:rsidP="00CC1C71">
      <w:pPr>
        <w:pStyle w:val="Titre5"/>
      </w:pPr>
      <w:r>
        <w:t xml:space="preserve"> Do you have any comment on the analysis presented in Section </w:t>
      </w:r>
      <w:r w:rsidR="00815554">
        <w:fldChar w:fldCharType="begin"/>
      </w:r>
      <w:r>
        <w:instrText xml:space="preserve"> REF _Ref392684359 \r \h </w:instrText>
      </w:r>
      <w:r w:rsidR="00815554">
        <w:fldChar w:fldCharType="separate"/>
      </w:r>
      <w:r>
        <w:t>4.1</w:t>
      </w:r>
      <w:r w:rsidR="00815554">
        <w:fldChar w:fldCharType="end"/>
      </w:r>
      <w:r>
        <w:t>?</w:t>
      </w:r>
    </w:p>
    <w:p w:rsidR="00CC1C71" w:rsidRDefault="00CC1C71" w:rsidP="00CC1C71"/>
    <w:p w:rsidR="00CC1C71" w:rsidRDefault="00CC1C71" w:rsidP="00CC1C71">
      <w:r>
        <w:t>&lt;ESMA_CO3_QUESTION_5&gt;</w:t>
      </w:r>
    </w:p>
    <w:p w:rsidR="0003520A" w:rsidRDefault="00E17C50" w:rsidP="0003520A">
      <w:pPr>
        <w:jc w:val="both"/>
      </w:pPr>
      <w:permStart w:id="8" w:edGrp="everyone"/>
      <w:r>
        <w:t>AMAFI</w:t>
      </w:r>
      <w:r w:rsidR="0003520A">
        <w:t xml:space="preserve"> </w:t>
      </w:r>
      <w:r w:rsidR="00727755">
        <w:t>globally</w:t>
      </w:r>
      <w:r w:rsidR="0003520A">
        <w:t xml:space="preserve"> agrees with ESMA’s comment on the analysis presented in Section 4.1. </w:t>
      </w:r>
    </w:p>
    <w:p w:rsidR="0003520A" w:rsidRDefault="0003520A" w:rsidP="0003520A">
      <w:pPr>
        <w:ind w:firstLine="709"/>
        <w:jc w:val="both"/>
      </w:pPr>
    </w:p>
    <w:p w:rsidR="0003520A" w:rsidRDefault="00E17C50" w:rsidP="0003520A">
      <w:pPr>
        <w:jc w:val="both"/>
      </w:pPr>
      <w:r>
        <w:t>Nonetheless</w:t>
      </w:r>
      <w:r w:rsidR="0003520A">
        <w:t xml:space="preserve">, </w:t>
      </w:r>
      <w:r>
        <w:t>AMAFI</w:t>
      </w:r>
      <w:r w:rsidR="0003520A">
        <w:t xml:space="preserve"> is concerned by the content of paragraph 95 of the Consultation Paper. Indeed, in line with an idea already mentioned in the </w:t>
      </w:r>
      <w:r>
        <w:t>two</w:t>
      </w:r>
      <w:r w:rsidR="0003520A">
        <w:t xml:space="preserve"> former Consultation Papers related to clearing obligations, ESMA </w:t>
      </w:r>
      <w:r w:rsidR="00331825">
        <w:t>is seeking</w:t>
      </w:r>
      <w:r w:rsidR="0003520A" w:rsidRPr="00643F9C">
        <w:rPr>
          <w:color w:val="FF0000"/>
        </w:rPr>
        <w:t xml:space="preserve"> </w:t>
      </w:r>
      <w:r w:rsidR="0003520A">
        <w:t xml:space="preserve">to launch a clearing obligation procedure even though the contemplated asset classes are cleared by a single European CCP (i.e. LCH Clearnet Ltd, in our case) at the beginning of the clearing obligation procedure. ESMA justifies its decision on the basis that </w:t>
      </w:r>
      <w:r>
        <w:t>three</w:t>
      </w:r>
      <w:r w:rsidR="0003520A">
        <w:t xml:space="preserve"> additional European CCPs plan to start clearing NDFs before the clearing obligation enters into force. </w:t>
      </w:r>
    </w:p>
    <w:p w:rsidR="0003520A" w:rsidRDefault="0003520A" w:rsidP="0003520A">
      <w:pPr>
        <w:tabs>
          <w:tab w:val="left" w:pos="1950"/>
        </w:tabs>
        <w:jc w:val="both"/>
      </w:pPr>
      <w:r>
        <w:tab/>
      </w:r>
    </w:p>
    <w:p w:rsidR="0003520A" w:rsidRPr="003D29AD" w:rsidRDefault="00E17C50" w:rsidP="0003520A">
      <w:pPr>
        <w:jc w:val="both"/>
        <w:rPr>
          <w:b/>
          <w:color w:val="FF0000"/>
        </w:rPr>
      </w:pPr>
      <w:r>
        <w:t>In our opinion</w:t>
      </w:r>
      <w:r w:rsidR="0003520A">
        <w:t xml:space="preserve">, the clearing obligation of an asset class should be subject to the existence of at least two available </w:t>
      </w:r>
      <w:r w:rsidR="0003520A" w:rsidRPr="00E17C50">
        <w:t xml:space="preserve">European </w:t>
      </w:r>
      <w:r w:rsidR="0003520A">
        <w:t xml:space="preserve">CCPs in order to avoid any systemic risk and any monopoly situation, both being detrimental to the investors as well as to the market’s efficiency and safety. </w:t>
      </w:r>
      <w:r w:rsidR="0003520A" w:rsidRPr="00E17C50">
        <w:t>As mentioned in our introdu</w:t>
      </w:r>
      <w:r w:rsidR="0003520A" w:rsidRPr="00E17C50">
        <w:t>c</w:t>
      </w:r>
      <w:r w:rsidR="0003520A" w:rsidRPr="00E17C50">
        <w:t>tory comments, the clearing of FX NDFs asset classes by a single European CCP at this stage is one of the reasons invoked to request the postponement of the clearing obligations to be imposed on FX NDFs.</w:t>
      </w:r>
      <w:r w:rsidR="0003520A">
        <w:rPr>
          <w:b/>
          <w:color w:val="FF0000"/>
        </w:rPr>
        <w:t xml:space="preserve"> </w:t>
      </w:r>
    </w:p>
    <w:p w:rsidR="0003520A" w:rsidRDefault="0003520A" w:rsidP="0003520A">
      <w:pPr>
        <w:jc w:val="both"/>
      </w:pPr>
    </w:p>
    <w:p w:rsidR="0003520A" w:rsidRDefault="0003520A" w:rsidP="0003520A">
      <w:pPr>
        <w:jc w:val="both"/>
      </w:pPr>
      <w:r>
        <w:t xml:space="preserve">In the present case, </w:t>
      </w:r>
      <w:r w:rsidR="00E17C50">
        <w:t>AMAFI</w:t>
      </w:r>
      <w:r>
        <w:t xml:space="preserve"> acknowledges that </w:t>
      </w:r>
      <w:r w:rsidR="00E17C50">
        <w:t>three</w:t>
      </w:r>
      <w:r>
        <w:t xml:space="preserve"> CCPs established in third-cou</w:t>
      </w:r>
      <w:r w:rsidR="00BE7DFC">
        <w:t>ntries are also clearing NDFs</w:t>
      </w:r>
      <w:r w:rsidR="00331825" w:rsidRPr="00331825">
        <w:t xml:space="preserve"> </w:t>
      </w:r>
      <w:r w:rsidR="00331825">
        <w:t xml:space="preserve">and that equivalence decisions have been made for the Singapore and Hong Kong </w:t>
      </w:r>
      <w:r w:rsidR="00331825">
        <w:t>regimes.</w:t>
      </w:r>
    </w:p>
    <w:permEnd w:id="8"/>
    <w:p w:rsidR="00CC1C71" w:rsidRDefault="00CC1C71" w:rsidP="00CC1C71">
      <w:r>
        <w:t>&lt;ESMA_CO3_QUESTION_5&gt;</w:t>
      </w:r>
    </w:p>
    <w:p w:rsidR="00CC1C71" w:rsidRDefault="00CC1C71" w:rsidP="00CC1C71"/>
    <w:p w:rsidR="00CC1C71" w:rsidRPr="00301767" w:rsidRDefault="00CC1C71" w:rsidP="00CC1C71">
      <w:pPr>
        <w:pStyle w:val="Titre5"/>
      </w:pPr>
      <w:r>
        <w:t>Do you agree with the proposal to keep the same definition of the categories of cou</w:t>
      </w:r>
      <w:r>
        <w:t>n</w:t>
      </w:r>
      <w:r>
        <w:t>terparties for the NDF classes than for the credit and the interest rate classes</w:t>
      </w:r>
      <w:r w:rsidRPr="004A3DCD">
        <w:t>? Please explain why and possible alternatives.</w:t>
      </w:r>
    </w:p>
    <w:p w:rsidR="00CC1C71" w:rsidRDefault="00CC1C71" w:rsidP="00CC1C71"/>
    <w:p w:rsidR="00CC1C71" w:rsidRDefault="00CC1C71" w:rsidP="00CC1C71">
      <w:r>
        <w:t>&lt;ESMA_CO3_QUESTION_6&gt;</w:t>
      </w:r>
    </w:p>
    <w:p w:rsidR="0003520A" w:rsidRDefault="00AA1A78" w:rsidP="0003520A">
      <w:pPr>
        <w:jc w:val="both"/>
      </w:pPr>
      <w:permStart w:id="9" w:edGrp="everyone"/>
      <w:r>
        <w:t>Yes.</w:t>
      </w:r>
      <w:r w:rsidR="0003520A">
        <w:t xml:space="preserve"> AMAFI agrees with the proposal to keep the same definitio</w:t>
      </w:r>
      <w:r>
        <w:t xml:space="preserve">n of the </w:t>
      </w:r>
      <w:r w:rsidR="00E17C50">
        <w:t>four</w:t>
      </w:r>
      <w:r w:rsidR="0003520A">
        <w:t xml:space="preserve"> categories of counterparties for the NDF classes than for the credit</w:t>
      </w:r>
      <w:r>
        <w:t xml:space="preserve"> and the interest rate classes, as it is set out in the </w:t>
      </w:r>
      <w:r w:rsidR="0003520A">
        <w:t>Final Report on the clearing obligation for interest rate swaps, pursuant to which the former category 2 has been subd</w:t>
      </w:r>
      <w:r w:rsidR="0003520A">
        <w:t>i</w:t>
      </w:r>
      <w:r w:rsidR="0003520A">
        <w:t xml:space="preserve">vided into new categories 2 and 3. </w:t>
      </w:r>
    </w:p>
    <w:p w:rsidR="0003520A" w:rsidRDefault="0003520A" w:rsidP="0003520A">
      <w:pPr>
        <w:tabs>
          <w:tab w:val="left" w:pos="1770"/>
        </w:tabs>
        <w:jc w:val="both"/>
      </w:pPr>
      <w:r>
        <w:tab/>
      </w:r>
    </w:p>
    <w:p w:rsidR="0003520A" w:rsidRDefault="00AA1A78" w:rsidP="0003520A">
      <w:pPr>
        <w:jc w:val="both"/>
      </w:pPr>
      <w:r>
        <w:t>AMAFI</w:t>
      </w:r>
      <w:r w:rsidR="0003520A">
        <w:t xml:space="preserve"> welcomes this new categori</w:t>
      </w:r>
      <w:r>
        <w:t>s</w:t>
      </w:r>
      <w:r w:rsidR="0003520A">
        <w:t xml:space="preserve">ation </w:t>
      </w:r>
      <w:r>
        <w:t>since</w:t>
      </w:r>
      <w:r w:rsidR="0003520A">
        <w:t xml:space="preserve"> it reduces the scope of </w:t>
      </w:r>
      <w:r w:rsidR="00630468">
        <w:t>the</w:t>
      </w:r>
      <w:r w:rsidR="0003520A">
        <w:t xml:space="preserve"> </w:t>
      </w:r>
      <w:r w:rsidR="0003520A" w:rsidRPr="002F53E6">
        <w:rPr>
          <w:i/>
        </w:rPr>
        <w:t xml:space="preserve">frontloading </w:t>
      </w:r>
      <w:r w:rsidR="0003520A">
        <w:t>require</w:t>
      </w:r>
      <w:r w:rsidR="00BE7DFC">
        <w:t xml:space="preserve">ment. Indeed, </w:t>
      </w:r>
      <w:r w:rsidR="0003520A">
        <w:t xml:space="preserve">transactions entered into with (new) category 3 counterparties will be exempted from </w:t>
      </w:r>
      <w:r w:rsidR="0003520A" w:rsidRPr="00B36AA8">
        <w:rPr>
          <w:i/>
        </w:rPr>
        <w:t>frontloa</w:t>
      </w:r>
      <w:r w:rsidR="0003520A" w:rsidRPr="00B36AA8">
        <w:rPr>
          <w:i/>
        </w:rPr>
        <w:t>d</w:t>
      </w:r>
      <w:r w:rsidR="0003520A" w:rsidRPr="00B36AA8">
        <w:rPr>
          <w:i/>
        </w:rPr>
        <w:t>ing</w:t>
      </w:r>
      <w:r w:rsidR="00BE7DFC">
        <w:rPr>
          <w:i/>
        </w:rPr>
        <w:t xml:space="preserve"> </w:t>
      </w:r>
      <w:r w:rsidR="00BE7DFC">
        <w:t>and, a</w:t>
      </w:r>
      <w:r w:rsidR="0003520A">
        <w:t xml:space="preserve">s mentioned in our answers to the former Consultation Papers, </w:t>
      </w:r>
      <w:r w:rsidR="0003520A" w:rsidRPr="002F53E6">
        <w:rPr>
          <w:i/>
        </w:rPr>
        <w:t>frontloading</w:t>
      </w:r>
      <w:r w:rsidR="0003520A" w:rsidRPr="002F53E6">
        <w:t xml:space="preserve"> requir</w:t>
      </w:r>
      <w:r w:rsidR="0003520A" w:rsidRPr="002F53E6">
        <w:t>e</w:t>
      </w:r>
      <w:r w:rsidR="0003520A" w:rsidRPr="002F53E6">
        <w:t>ments may create pricing uncertainty</w:t>
      </w:r>
      <w:r w:rsidR="0003520A">
        <w:t xml:space="preserve"> (the pricing which will be proposed to the client will take into account such </w:t>
      </w:r>
      <w:r w:rsidR="0003520A" w:rsidRPr="001D0C23">
        <w:rPr>
          <w:i/>
        </w:rPr>
        <w:t>frontloa</w:t>
      </w:r>
      <w:r w:rsidR="0003520A" w:rsidRPr="001D0C23">
        <w:rPr>
          <w:i/>
        </w:rPr>
        <w:t>d</w:t>
      </w:r>
      <w:r w:rsidR="0003520A" w:rsidRPr="001D0C23">
        <w:rPr>
          <w:i/>
        </w:rPr>
        <w:t>ing</w:t>
      </w:r>
      <w:r w:rsidR="0003520A">
        <w:t>)</w:t>
      </w:r>
      <w:r w:rsidR="0003520A" w:rsidRPr="002F53E6">
        <w:t>, consequently bid-offer spreads widening and,</w:t>
      </w:r>
      <w:r w:rsidR="0003520A">
        <w:t xml:space="preserve"> eventually, market instability. </w:t>
      </w:r>
    </w:p>
    <w:p w:rsidR="0003520A" w:rsidRDefault="0003520A" w:rsidP="0003520A">
      <w:pPr>
        <w:jc w:val="both"/>
      </w:pPr>
    </w:p>
    <w:p w:rsidR="0003520A" w:rsidRDefault="00AA1A78" w:rsidP="0003520A">
      <w:pPr>
        <w:jc w:val="both"/>
      </w:pPr>
      <w:r>
        <w:t>Nevertheless, AMAFI</w:t>
      </w:r>
      <w:r w:rsidR="0003520A">
        <w:t xml:space="preserve"> </w:t>
      </w:r>
      <w:r>
        <w:t>wants</w:t>
      </w:r>
      <w:r w:rsidR="0003520A">
        <w:t xml:space="preserve"> to highlight some difficulties </w:t>
      </w:r>
      <w:r>
        <w:t>related</w:t>
      </w:r>
      <w:r w:rsidR="0003520A">
        <w:t xml:space="preserve"> to the </w:t>
      </w:r>
      <w:r>
        <w:t xml:space="preserve">new </w:t>
      </w:r>
      <w:r w:rsidR="0003520A">
        <w:t xml:space="preserve">quantitative threshold of </w:t>
      </w:r>
      <w:r>
        <w:t xml:space="preserve">EUR </w:t>
      </w:r>
      <w:r w:rsidR="0003520A">
        <w:t xml:space="preserve">8 billion (i.e. the amount of group’s aggregate month-end average notional amount of non-centrally cleared derivative), which </w:t>
      </w:r>
      <w:r w:rsidR="00331825">
        <w:t>separates</w:t>
      </w:r>
      <w:r w:rsidR="0003520A">
        <w:t xml:space="preserve"> counterparties of categories 2 and 3: </w:t>
      </w:r>
    </w:p>
    <w:p w:rsidR="0003520A" w:rsidRDefault="0003520A" w:rsidP="0003520A">
      <w:pPr>
        <w:pStyle w:val="Paragraphedeliste"/>
        <w:numPr>
          <w:ilvl w:val="0"/>
          <w:numId w:val="38"/>
        </w:numPr>
        <w:jc w:val="both"/>
      </w:pPr>
      <w:r>
        <w:t>credit institutions will not be in a position to calculate this threshold, and therefore will rely on the valuations and statements provided by their counterparties as well as on some other external ind</w:t>
      </w:r>
      <w:r>
        <w:t>i</w:t>
      </w:r>
      <w:r>
        <w:t xml:space="preserve">cators or evidences; </w:t>
      </w:r>
    </w:p>
    <w:p w:rsidR="0003520A" w:rsidRDefault="0003520A" w:rsidP="0003520A">
      <w:pPr>
        <w:pStyle w:val="Paragraphedeliste"/>
        <w:numPr>
          <w:ilvl w:val="0"/>
          <w:numId w:val="38"/>
        </w:numPr>
        <w:jc w:val="both"/>
      </w:pPr>
      <w:r>
        <w:t>the requirement to calculate this threshold within the 3 months before the RTS for interest rate swaps enter into force (i.e. November 2014, December 2014 and January 2015) may lead to err</w:t>
      </w:r>
      <w:r>
        <w:t>o</w:t>
      </w:r>
      <w:r>
        <w:t xml:space="preserve">neous calculations and </w:t>
      </w:r>
      <w:r w:rsidR="00331825">
        <w:t>assessments</w:t>
      </w:r>
      <w:r w:rsidR="00AA1A78">
        <w:t xml:space="preserve"> – due to potential last-</w:t>
      </w:r>
      <w:r>
        <w:t>minute statements from some counte</w:t>
      </w:r>
      <w:r>
        <w:t>r</w:t>
      </w:r>
      <w:r>
        <w:t>parties;</w:t>
      </w:r>
    </w:p>
    <w:p w:rsidR="0003520A" w:rsidRDefault="005A1EAC" w:rsidP="0003520A">
      <w:pPr>
        <w:pStyle w:val="Paragraphedeliste"/>
        <w:numPr>
          <w:ilvl w:val="0"/>
          <w:numId w:val="38"/>
        </w:numPr>
        <w:jc w:val="both"/>
      </w:pPr>
      <w:proofErr w:type="gramStart"/>
      <w:r>
        <w:t>so</w:t>
      </w:r>
      <w:proofErr w:type="gramEnd"/>
      <w:r>
        <w:t xml:space="preserve"> as</w:t>
      </w:r>
      <w:r w:rsidR="0003520A">
        <w:t xml:space="preserve"> to reduce the risk</w:t>
      </w:r>
      <w:r>
        <w:t>s</w:t>
      </w:r>
      <w:r w:rsidR="0003520A">
        <w:t xml:space="preserve"> above mentioned, </w:t>
      </w:r>
      <w:r>
        <w:t>AMAFI</w:t>
      </w:r>
      <w:r w:rsidR="0003520A">
        <w:t xml:space="preserve"> considers that ESMA should consent to pos</w:t>
      </w:r>
      <w:r w:rsidR="0003520A">
        <w:t>t</w:t>
      </w:r>
      <w:r w:rsidR="0003520A">
        <w:t xml:space="preserve">pone the entry into force of the </w:t>
      </w:r>
      <w:r w:rsidR="0003520A" w:rsidRPr="00CA1E9E">
        <w:rPr>
          <w:i/>
        </w:rPr>
        <w:t>frontloading</w:t>
      </w:r>
      <w:r w:rsidR="0003520A">
        <w:t xml:space="preserve"> requirement (to </w:t>
      </w:r>
      <w:r w:rsidR="00331825">
        <w:t xml:space="preserve">at the very earliest </w:t>
      </w:r>
      <w:r w:rsidR="0003520A">
        <w:t xml:space="preserve">3 months </w:t>
      </w:r>
      <w:r w:rsidR="00331825">
        <w:t>from entry into force of</w:t>
      </w:r>
      <w:r w:rsidR="0003520A">
        <w:t xml:space="preserve"> the RTS), as already requested by ISDA. </w:t>
      </w:r>
    </w:p>
    <w:permEnd w:id="9"/>
    <w:p w:rsidR="00CC1C71" w:rsidRDefault="00CC1C71" w:rsidP="00CC1C71">
      <w:r>
        <w:t>&lt;ESMA_CO3_QUESTION_6&gt;</w:t>
      </w:r>
    </w:p>
    <w:p w:rsidR="00CC1C71" w:rsidRDefault="00CC1C71" w:rsidP="00CC1C71"/>
    <w:p w:rsidR="00CC1C71" w:rsidRDefault="00CC1C71" w:rsidP="00CC1C71">
      <w:pPr>
        <w:pStyle w:val="Titre5"/>
      </w:pPr>
      <w:r>
        <w:t xml:space="preserve"> </w:t>
      </w:r>
      <w:r w:rsidRPr="0067104A">
        <w:t>Do you consider that the proposed dates of application ensure a smooth implement</w:t>
      </w:r>
      <w:r w:rsidRPr="0067104A">
        <w:t>a</w:t>
      </w:r>
      <w:r w:rsidRPr="0067104A">
        <w:t>tion of the clearing obligation? Please explain why and possible alternatives.</w:t>
      </w:r>
      <w:bookmarkStart w:id="18" w:name="_Toc392684952"/>
      <w:bookmarkStart w:id="19" w:name="_Toc390952341"/>
      <w:bookmarkStart w:id="20" w:name="_Toc391310571"/>
      <w:bookmarkStart w:id="21" w:name="_Toc391310596"/>
      <w:bookmarkStart w:id="22" w:name="_Toc391310655"/>
      <w:bookmarkStart w:id="23" w:name="_Toc391313047"/>
      <w:bookmarkStart w:id="24" w:name="_Toc390262886"/>
      <w:bookmarkStart w:id="25" w:name="_Toc390262889"/>
      <w:bookmarkStart w:id="26" w:name="_Toc390262891"/>
      <w:bookmarkStart w:id="27" w:name="_Toc390262899"/>
      <w:bookmarkEnd w:id="18"/>
      <w:bookmarkEnd w:id="19"/>
      <w:bookmarkEnd w:id="20"/>
      <w:bookmarkEnd w:id="21"/>
      <w:bookmarkEnd w:id="22"/>
      <w:bookmarkEnd w:id="23"/>
      <w:bookmarkEnd w:id="24"/>
      <w:bookmarkEnd w:id="25"/>
      <w:bookmarkEnd w:id="26"/>
      <w:bookmarkEnd w:id="27"/>
    </w:p>
    <w:p w:rsidR="00CC1C71" w:rsidRDefault="00CC1C71" w:rsidP="00CC1C71"/>
    <w:p w:rsidR="00CC1C71" w:rsidRDefault="00CC1C71" w:rsidP="00CC1C71">
      <w:r>
        <w:t>&lt;ESMA_CO3_QUESTION_7&gt;</w:t>
      </w:r>
    </w:p>
    <w:p w:rsidR="0003520A" w:rsidRDefault="00331825" w:rsidP="0003520A">
      <w:pPr>
        <w:jc w:val="both"/>
      </w:pPr>
      <w:permStart w:id="10" w:edGrp="everyone"/>
      <w:r>
        <w:t xml:space="preserve">If clearing for </w:t>
      </w:r>
      <w:r>
        <w:t xml:space="preserve">FX </w:t>
      </w:r>
      <w:r>
        <w:t>NDFs is intended to made obligatory within the proposed timeline, and not delayed as per our recommendations, the proposed dates of application should be adjusted accordingly, particularly for Category 1 and Category 2 counterparties, to give parties sufficient time to deal with the issues raised in particular in question 6 above (proper classification of counterparties) and the issues raised in introdu</w:t>
      </w:r>
      <w:r>
        <w:t>c</w:t>
      </w:r>
      <w:r>
        <w:t xml:space="preserve">tory comments (more than one European CCP provides the service, and more clearing members provide access to clearing for FX NDFs).  </w:t>
      </w:r>
      <w:r w:rsidR="0003520A">
        <w:t>.</w:t>
      </w:r>
    </w:p>
    <w:permEnd w:id="10"/>
    <w:p w:rsidR="00CC1C71" w:rsidRDefault="00CC1C71" w:rsidP="00CC1C71">
      <w:r>
        <w:t>&lt;ESMA_CO3_QUESTION_7&gt;</w:t>
      </w:r>
    </w:p>
    <w:p w:rsidR="00CC1C71" w:rsidRDefault="00CC1C71" w:rsidP="00CC1C71"/>
    <w:p w:rsidR="00CC1C71" w:rsidRDefault="00CC1C71" w:rsidP="00CC1C71">
      <w:pPr>
        <w:pStyle w:val="Titre2"/>
        <w:keepLines w:val="0"/>
        <w:pageBreakBefore/>
        <w:numPr>
          <w:ilvl w:val="0"/>
          <w:numId w:val="36"/>
        </w:numPr>
        <w:spacing w:before="0" w:after="250" w:line="276" w:lineRule="auto"/>
        <w:ind w:left="357" w:hanging="357"/>
        <w:jc w:val="both"/>
      </w:pPr>
      <w:bookmarkStart w:id="28" w:name="_Toc398140748"/>
      <w:r w:rsidRPr="00A84770">
        <w:t>Remaining maturity</w:t>
      </w:r>
      <w:r>
        <w:t xml:space="preserve"> and frontloading</w:t>
      </w:r>
      <w:bookmarkEnd w:id="28"/>
    </w:p>
    <w:p w:rsidR="00C7564E" w:rsidRDefault="00C7564E" w:rsidP="00C7564E">
      <w:pPr>
        <w:pStyle w:val="Titre5"/>
      </w:pPr>
      <w:r>
        <w:t>Do you have comments on the minimum remaining maturities for NDF?</w:t>
      </w:r>
    </w:p>
    <w:p w:rsidR="00C7564E" w:rsidRPr="00CC1C71" w:rsidRDefault="00C7564E" w:rsidP="00C7564E"/>
    <w:p w:rsidR="00C7564E" w:rsidRDefault="00C7564E" w:rsidP="00C7564E">
      <w:r>
        <w:t>&lt;ESMA_CO3_QUESTION_8&gt;</w:t>
      </w:r>
    </w:p>
    <w:p w:rsidR="0003520A" w:rsidRDefault="0003520A" w:rsidP="0003520A">
      <w:pPr>
        <w:jc w:val="both"/>
      </w:pPr>
      <w:permStart w:id="11" w:edGrp="everyone"/>
      <w:r>
        <w:t>AMAFI understands the rationale behind the ESMA’s proposals, i.e. to lower the absolute levels of min</w:t>
      </w:r>
      <w:r>
        <w:t>i</w:t>
      </w:r>
      <w:r>
        <w:t xml:space="preserve">mum remaining maturity for FX NDF since the maximum maturity of the FX NDF class is lower than the maximum maturity of the interest rate swaps class. </w:t>
      </w:r>
    </w:p>
    <w:p w:rsidR="0003520A" w:rsidRDefault="0003520A" w:rsidP="0003520A">
      <w:pPr>
        <w:jc w:val="both"/>
      </w:pPr>
    </w:p>
    <w:p w:rsidR="0003520A" w:rsidRDefault="0003520A" w:rsidP="0003520A">
      <w:pPr>
        <w:jc w:val="both"/>
      </w:pPr>
      <w:r>
        <w:t xml:space="preserve">However, AMAFI disagrees with ESMA’s proposal to set at 3 months the minimum remaining maturity for transactions entered into with counterparties of category 1 and /or category 2 during Period B. </w:t>
      </w:r>
    </w:p>
    <w:p w:rsidR="0003520A" w:rsidRDefault="0003520A" w:rsidP="0003520A">
      <w:pPr>
        <w:jc w:val="both"/>
      </w:pPr>
    </w:p>
    <w:p w:rsidR="0003520A" w:rsidRDefault="0003520A" w:rsidP="0003520A">
      <w:pPr>
        <w:jc w:val="both"/>
      </w:pPr>
      <w:r>
        <w:t xml:space="preserve">Indeed, such proposal of a very short remaining maturity does not address our concern to ensure the exemption from the </w:t>
      </w:r>
      <w:r w:rsidRPr="00C72674">
        <w:rPr>
          <w:i/>
        </w:rPr>
        <w:t>frontloading</w:t>
      </w:r>
      <w:r>
        <w:t xml:space="preserve"> requirement of an important number of contracts entered into with counterparties belonging to categories 1 and 2 (in order to avoid the side effects of </w:t>
      </w:r>
      <w:r w:rsidRPr="002C318F">
        <w:rPr>
          <w:i/>
        </w:rPr>
        <w:t>frontloading</w:t>
      </w:r>
      <w:r>
        <w:t xml:space="preserve"> as me</w:t>
      </w:r>
      <w:r>
        <w:t>n</w:t>
      </w:r>
      <w:r>
        <w:t xml:space="preserve">tioned in our answer 6 hereinabove). That is why AMAFI proposes to set at a 6 month time-period (instead of a 3 month time-period) the minimum remaining maturity for the contracts entered into with the said counterparties. </w:t>
      </w:r>
    </w:p>
    <w:permEnd w:id="11"/>
    <w:p w:rsidR="00C7564E" w:rsidRDefault="00C7564E" w:rsidP="00C7564E">
      <w:r>
        <w:t>&lt;ESMA_CO3_QUESTION_8&gt;</w:t>
      </w:r>
    </w:p>
    <w:p w:rsidR="00CC1C71" w:rsidRDefault="00CC1C71" w:rsidP="00CC1C71"/>
    <w:p w:rsidR="00CC1C71" w:rsidRDefault="00CC1C71" w:rsidP="00CC1C71"/>
    <w:p w:rsidR="00CC1C71" w:rsidRDefault="00CC1C71" w:rsidP="00CC1C71">
      <w:r>
        <w:br w:type="page"/>
      </w:r>
    </w:p>
    <w:p w:rsidR="00CC1C71" w:rsidRDefault="00CC1C71" w:rsidP="00CC1C71">
      <w:pPr>
        <w:pStyle w:val="Titre1"/>
        <w:numPr>
          <w:ilvl w:val="0"/>
          <w:numId w:val="0"/>
        </w:numPr>
        <w:ind w:left="284"/>
      </w:pPr>
      <w:bookmarkStart w:id="29" w:name="_Ref389466688"/>
      <w:bookmarkStart w:id="30" w:name="_Toc398140750"/>
      <w:r w:rsidRPr="006579BC">
        <w:t xml:space="preserve">Annex </w:t>
      </w:r>
      <w:r w:rsidR="00815554">
        <w:fldChar w:fldCharType="begin"/>
      </w:r>
      <w:r w:rsidR="00422E75">
        <w:instrText xml:space="preserve"> SEQ Annex \* ROMAN </w:instrText>
      </w:r>
      <w:r w:rsidR="00815554">
        <w:fldChar w:fldCharType="separate"/>
      </w:r>
      <w:r>
        <w:rPr>
          <w:noProof/>
        </w:rPr>
        <w:t>II</w:t>
      </w:r>
      <w:r w:rsidR="00815554">
        <w:rPr>
          <w:noProof/>
        </w:rPr>
        <w:fldChar w:fldCharType="end"/>
      </w:r>
      <w:bookmarkEnd w:id="29"/>
      <w:r w:rsidRPr="006579BC">
        <w:t xml:space="preserve"> - Draft Regulatory Technical Standards on the Clearing Oblig</w:t>
      </w:r>
      <w:r w:rsidRPr="006579BC">
        <w:t>a</w:t>
      </w:r>
      <w:r w:rsidRPr="006579BC">
        <w:t>tion</w:t>
      </w:r>
      <w:bookmarkEnd w:id="30"/>
    </w:p>
    <w:p w:rsidR="00CC1C71" w:rsidRPr="00CC1C71" w:rsidRDefault="00CC1C71" w:rsidP="00CC1C71"/>
    <w:p w:rsidR="00CC1C71" w:rsidRDefault="00CC1C71" w:rsidP="00CC1C71"/>
    <w:p w:rsidR="00CC1C71" w:rsidRDefault="00CC1C71" w:rsidP="00CC1C71">
      <w:pPr>
        <w:pStyle w:val="Titre5"/>
      </w:pPr>
      <w:r>
        <w:t>Please indicate your comments on the draft RTS other than those already made in the previous questions.</w:t>
      </w:r>
    </w:p>
    <w:p w:rsidR="00CC1C71" w:rsidRDefault="00CC1C71" w:rsidP="00CC1C71"/>
    <w:p w:rsidR="00CC1C71" w:rsidRDefault="00CC1C71" w:rsidP="00CC1C71">
      <w:r>
        <w:t>&lt;ESMA_CO3_QUESTION_9&gt;</w:t>
      </w:r>
    </w:p>
    <w:p w:rsidR="0003520A" w:rsidRDefault="0003520A" w:rsidP="0003520A">
      <w:permStart w:id="12" w:edGrp="everyone"/>
      <w:r>
        <w:t>AMAFI has no particular comment to make on this question.</w:t>
      </w:r>
    </w:p>
    <w:permEnd w:id="12"/>
    <w:p w:rsidR="00CC1C71" w:rsidRDefault="00CC1C71" w:rsidP="00CC1C71">
      <w:r>
        <w:t>&lt;ESMA_CO3_QUESTION_9&gt;</w:t>
      </w:r>
    </w:p>
    <w:p w:rsidR="00CC1C71" w:rsidRDefault="00CC1C71" w:rsidP="00CC1C71">
      <w:r>
        <w:br w:type="page"/>
      </w:r>
    </w:p>
    <w:p w:rsidR="00CC1C71" w:rsidRPr="0030524D" w:rsidRDefault="00CC1C71" w:rsidP="00CC1C71">
      <w:pPr>
        <w:pStyle w:val="Titre1"/>
        <w:numPr>
          <w:ilvl w:val="0"/>
          <w:numId w:val="0"/>
        </w:numPr>
        <w:ind w:left="284"/>
      </w:pPr>
      <w:bookmarkStart w:id="31" w:name="_Toc398140751"/>
      <w:r w:rsidRPr="0030524D">
        <w:t xml:space="preserve">Annex </w:t>
      </w:r>
      <w:r w:rsidR="00815554">
        <w:fldChar w:fldCharType="begin"/>
      </w:r>
      <w:r w:rsidR="00422E75">
        <w:instrText xml:space="preserve"> SEQ Annex \* ROMAN </w:instrText>
      </w:r>
      <w:r w:rsidR="00815554">
        <w:fldChar w:fldCharType="separate"/>
      </w:r>
      <w:r>
        <w:rPr>
          <w:noProof/>
        </w:rPr>
        <w:t>III</w:t>
      </w:r>
      <w:r w:rsidR="00815554">
        <w:rPr>
          <w:noProof/>
        </w:rPr>
        <w:fldChar w:fldCharType="end"/>
      </w:r>
      <w:r w:rsidRPr="0030524D">
        <w:t xml:space="preserve"> </w:t>
      </w:r>
      <w:r>
        <w:t>–</w:t>
      </w:r>
      <w:r w:rsidRPr="0030524D">
        <w:t xml:space="preserve"> </w:t>
      </w:r>
      <w:r>
        <w:t>Impact assessment</w:t>
      </w:r>
      <w:bookmarkEnd w:id="31"/>
    </w:p>
    <w:p w:rsidR="00CC1C71" w:rsidRDefault="00CC1C71" w:rsidP="00CC1C71"/>
    <w:p w:rsidR="00CC1C71" w:rsidRDefault="00CC1C71" w:rsidP="00CC1C71">
      <w:pPr>
        <w:pStyle w:val="Titre5"/>
      </w:pPr>
      <w:r>
        <w:t>Please indicate your comments on the Impact Assessment.</w:t>
      </w:r>
    </w:p>
    <w:p w:rsidR="00CC1C71" w:rsidRDefault="00CC1C71" w:rsidP="00CC1C71"/>
    <w:p w:rsidR="00CC1C71" w:rsidRDefault="00CC1C71" w:rsidP="00CC1C71">
      <w:r>
        <w:t>&lt;ESMA_CO3_QUESTION_10&gt;</w:t>
      </w:r>
    </w:p>
    <w:p w:rsidR="00CC1C71" w:rsidRDefault="0003520A" w:rsidP="00CC1C71">
      <w:permStart w:id="13" w:edGrp="everyone"/>
      <w:r>
        <w:t>AMAFI has no particular comment to make on this question.</w:t>
      </w:r>
    </w:p>
    <w:permEnd w:id="13"/>
    <w:p w:rsidR="00CC1C71" w:rsidRDefault="00CC1C71" w:rsidP="00CC1C71">
      <w:r>
        <w:t>&lt;ESMA_CO3_QUESTION_10&gt;</w:t>
      </w:r>
    </w:p>
    <w:p w:rsidR="00CC1C71" w:rsidRDefault="00CC1C71" w:rsidP="00CC1C71"/>
    <w:p w:rsidR="00510C18" w:rsidRDefault="00510C18" w:rsidP="00510C18"/>
    <w:sectPr w:rsidR="00510C18" w:rsidSect="000C06C9">
      <w:headerReference w:type="even" r:id="rId15"/>
      <w:headerReference w:type="first" r:id="rId16"/>
      <w:footerReference w:type="first" r:id="rId17"/>
      <w:pgSz w:w="11906" w:h="16838" w:code="9"/>
      <w:pgMar w:top="2552" w:right="1247" w:bottom="1361" w:left="124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7F4" w:rsidRDefault="00BE47F4">
      <w:r>
        <w:separator/>
      </w:r>
    </w:p>
    <w:p w:rsidR="00BE47F4" w:rsidRDefault="00BE47F4"/>
  </w:endnote>
  <w:endnote w:type="continuationSeparator" w:id="0">
    <w:p w:rsidR="00BE47F4" w:rsidRDefault="00BE47F4">
      <w:r>
        <w:continuationSeparator/>
      </w:r>
    </w:p>
    <w:p w:rsidR="00BE47F4" w:rsidRDefault="00BE47F4"/>
  </w:endnote>
  <w:endnote w:type="continuationNotice" w:id="1">
    <w:p w:rsidR="00BE47F4" w:rsidRDefault="00BE47F4"/>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2618C7" w:rsidRPr="00315E96" w:rsidTr="00315E96">
      <w:trPr>
        <w:trHeight w:val="284"/>
      </w:trPr>
      <w:tc>
        <w:tcPr>
          <w:tcW w:w="8460" w:type="dxa"/>
        </w:tcPr>
        <w:p w:rsidR="002618C7" w:rsidRPr="00315E96" w:rsidRDefault="002618C7" w:rsidP="00315E96">
          <w:pPr>
            <w:pStyle w:val="00Footer"/>
            <w:rPr>
              <w:lang w:val="fr-FR"/>
            </w:rPr>
          </w:pPr>
        </w:p>
      </w:tc>
      <w:tc>
        <w:tcPr>
          <w:tcW w:w="952" w:type="dxa"/>
        </w:tcPr>
        <w:p w:rsidR="002618C7" w:rsidRPr="002C5B2D" w:rsidRDefault="00815554" w:rsidP="002C5B2D">
          <w:pPr>
            <w:pStyle w:val="00aPagenumber"/>
          </w:pPr>
          <w:fldSimple w:instr=" PAGE ">
            <w:r w:rsidR="00630468">
              <w:rPr>
                <w:noProof/>
              </w:rPr>
              <w:t>10</w:t>
            </w:r>
          </w:fldSimple>
        </w:p>
      </w:tc>
    </w:tr>
  </w:tbl>
  <w:p w:rsidR="002618C7" w:rsidRDefault="002618C7">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C7" w:rsidRDefault="002618C7" w:rsidP="00395EF9">
    <w:pPr>
      <w:pStyle w:val="Pieddepage"/>
      <w:tabs>
        <w:tab w:val="clear" w:pos="4536"/>
        <w:tab w:val="clear" w:pos="9072"/>
        <w:tab w:val="left" w:pos="8115"/>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C7" w:rsidRDefault="002618C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7F4" w:rsidRDefault="00BE47F4">
      <w:r>
        <w:separator/>
      </w:r>
    </w:p>
    <w:p w:rsidR="00BE47F4" w:rsidRDefault="00BE47F4"/>
  </w:footnote>
  <w:footnote w:type="continuationSeparator" w:id="0">
    <w:p w:rsidR="00BE47F4" w:rsidRDefault="00BE47F4">
      <w:r>
        <w:continuationSeparator/>
      </w:r>
    </w:p>
    <w:p w:rsidR="00BE47F4" w:rsidRDefault="00BE47F4"/>
  </w:footnote>
  <w:footnote w:type="continuationNotice" w:id="1">
    <w:p w:rsidR="00BE47F4" w:rsidRDefault="00BE47F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C7" w:rsidRDefault="002618C7">
    <w:pPr>
      <w:pStyle w:val="En-tte"/>
    </w:pPr>
    <w:r>
      <w:rPr>
        <w:noProof/>
        <w:lang w:val="fr-FR" w:eastAsia="fr-FR"/>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anchor>
      </w:drawing>
    </w:r>
    <w:r w:rsidR="00815554" w:rsidRPr="00815554">
      <w:rPr>
        <w:noProof/>
        <w:lang w:val="en-US" w:eastAsia="en-US"/>
      </w:rPr>
      <w:pict>
        <v:line id="Line 16" o:spid="_x0000_s2049" style="position:absolute;z-index:251656192;visibility:visible;mso-wrap-distance-left:3.17486mm;mso-wrap-distance-right:3.17486mm;mso-position-horizontal-relative:page;mso-position-vertical-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C7" w:rsidRDefault="002618C7" w:rsidP="00013CCE">
    <w:pPr>
      <w:pStyle w:val="En-tte"/>
      <w:jc w:val="right"/>
    </w:pPr>
    <w:r>
      <w:rPr>
        <w:noProof/>
        <w:lang w:val="fr-FR" w:eastAsia="fr-FR"/>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r>
      <w:rPr>
        <w:noProof/>
        <w:lang w:val="fr-FR" w:eastAsia="fr-FR"/>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anchor>
      </w:drawing>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8C7" w:rsidRDefault="002618C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1248" w:tblpY="15820"/>
      <w:tblOverlap w:val="never"/>
      <w:tblW w:w="9412" w:type="dxa"/>
      <w:tblCellMar>
        <w:left w:w="0" w:type="dxa"/>
        <w:right w:w="0" w:type="dxa"/>
      </w:tblCellMar>
      <w:tblLook w:val="01E0"/>
    </w:tblPr>
    <w:tblGrid>
      <w:gridCol w:w="8460"/>
      <w:gridCol w:w="952"/>
    </w:tblGrid>
    <w:tr w:rsidR="002618C7" w:rsidRPr="002F4496" w:rsidTr="000C06C9">
      <w:trPr>
        <w:trHeight w:val="284"/>
      </w:trPr>
      <w:tc>
        <w:tcPr>
          <w:tcW w:w="8460" w:type="dxa"/>
        </w:tcPr>
        <w:p w:rsidR="002618C7" w:rsidRPr="000C3B6D" w:rsidRDefault="002618C7" w:rsidP="000C06C9">
          <w:pPr>
            <w:pStyle w:val="00Footer"/>
            <w:rPr>
              <w:lang w:val="fr-FR"/>
            </w:rPr>
          </w:pPr>
        </w:p>
      </w:tc>
      <w:tc>
        <w:tcPr>
          <w:tcW w:w="952" w:type="dxa"/>
        </w:tcPr>
        <w:p w:rsidR="002618C7" w:rsidRPr="00146B34" w:rsidRDefault="002618C7" w:rsidP="000C06C9">
          <w:pPr>
            <w:pStyle w:val="00aPagenumber"/>
            <w:rPr>
              <w:lang w:val="fr-FR"/>
            </w:rPr>
          </w:pPr>
        </w:p>
      </w:tc>
    </w:tr>
  </w:tbl>
  <w:p w:rsidR="002618C7" w:rsidRPr="00DB46C3" w:rsidRDefault="002618C7">
    <w:pPr>
      <w:rPr>
        <w:lang w:val="fr-FR"/>
      </w:rPr>
    </w:pPr>
  </w:p>
  <w:p w:rsidR="002618C7" w:rsidRPr="002F4496" w:rsidRDefault="002618C7">
    <w:pPr>
      <w:pStyle w:val="En-tte"/>
      <w:rPr>
        <w:lang w:val="fr-FR"/>
      </w:rPr>
    </w:pPr>
  </w:p>
  <w:p w:rsidR="002618C7" w:rsidRPr="002F4496" w:rsidRDefault="002618C7" w:rsidP="000C06C9">
    <w:pPr>
      <w:pStyle w:val="En-tte"/>
      <w:tabs>
        <w:tab w:val="clear" w:pos="4536"/>
        <w:tab w:val="clear" w:pos="9072"/>
        <w:tab w:val="left" w:pos="8227"/>
      </w:tabs>
      <w:rPr>
        <w:lang w:val="fr-FR"/>
      </w:rPr>
    </w:pPr>
  </w:p>
  <w:p w:rsidR="002618C7" w:rsidRPr="002F4496" w:rsidRDefault="002618C7" w:rsidP="000C06C9">
    <w:pPr>
      <w:pStyle w:val="En-tte"/>
      <w:tabs>
        <w:tab w:val="clear" w:pos="4536"/>
        <w:tab w:val="clear" w:pos="9072"/>
        <w:tab w:val="left" w:pos="8227"/>
      </w:tabs>
      <w:rPr>
        <w:lang w:val="fr-FR"/>
      </w:rPr>
    </w:pPr>
  </w:p>
  <w:p w:rsidR="002618C7" w:rsidRPr="002F4496" w:rsidRDefault="002618C7">
    <w:pPr>
      <w:pStyle w:val="En-tte"/>
      <w:rPr>
        <w:lang w:val="fr-FR"/>
      </w:rPr>
    </w:pPr>
  </w:p>
  <w:p w:rsidR="002618C7" w:rsidRPr="002F4496" w:rsidRDefault="002618C7">
    <w:pPr>
      <w:pStyle w:val="En-tte"/>
      <w:rPr>
        <w:lang w:val="fr-FR"/>
      </w:rPr>
    </w:pPr>
  </w:p>
  <w:p w:rsidR="002618C7" w:rsidRPr="002F4496" w:rsidRDefault="002618C7">
    <w:pPr>
      <w:pStyle w:val="En-tte"/>
      <w:rPr>
        <w:lang w:val="fr-FR"/>
      </w:rPr>
    </w:pPr>
  </w:p>
  <w:p w:rsidR="002618C7" w:rsidRPr="002F4496" w:rsidRDefault="002618C7">
    <w:pPr>
      <w:pStyle w:val="En-tte"/>
      <w:rPr>
        <w:lang w:val="fr-FR"/>
      </w:rPr>
    </w:pPr>
  </w:p>
  <w:p w:rsidR="002618C7" w:rsidRPr="002F4496" w:rsidRDefault="002618C7">
    <w:pPr>
      <w:pStyle w:val="En-tte"/>
      <w:rPr>
        <w:highlight w:val="yellow"/>
        <w:lang w:val="fr-FR"/>
      </w:rPr>
    </w:pPr>
  </w:p>
  <w:p w:rsidR="002618C7" w:rsidRDefault="00815554">
    <w:pPr>
      <w:pStyle w:val="En-tte"/>
    </w:pPr>
    <w:r w:rsidRPr="00815554">
      <w:rPr>
        <w:noProof/>
        <w:lang w:val="en-US" w:eastAsia="en-US"/>
      </w:rPr>
      <w:pict>
        <v:line id="Straight Connector 138" o:spid="_x0000_s2050" style="position:absolute;z-index:251660288;visibility:visible;mso-wrap-distance-left:3.17497mm;mso-wrap-distance-right:3.17497mm;mso-position-horizontal-relative:page;mso-position-vertical-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w:r>
    <w:r w:rsidR="002618C7">
      <w:rPr>
        <w:noProof/>
        <w:lang w:val="fr-FR" w:eastAsia="fr-FR"/>
      </w:rPr>
      <w:drawing>
        <wp:anchor distT="0" distB="0" distL="114300" distR="114300" simplePos="0" relativeHeight="251659264" behindDoc="0" locked="0" layoutInCell="1" allowOverlap="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F8A0A898"/>
    <w:lvl w:ilvl="0">
      <w:start w:val="1"/>
      <w:numFmt w:val="decimal"/>
      <w:pStyle w:val="1AMAFI"/>
      <w:lvlText w:val="%1."/>
      <w:lvlJc w:val="left"/>
      <w:pPr>
        <w:tabs>
          <w:tab w:val="num" w:pos="567"/>
        </w:tabs>
        <w:ind w:left="-284" w:firstLine="284"/>
      </w:pPr>
      <w:rPr>
        <w:rFonts w:ascii="Arial" w:hAnsi="Arial"/>
        <w:b/>
        <w:i w:val="0"/>
        <w:color w:val="003366"/>
        <w:sz w:val="20"/>
      </w:rPr>
    </w:lvl>
  </w:abstractNum>
  <w:abstractNum w:abstractNumId="1">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2">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3017BBD"/>
    <w:multiLevelType w:val="hybridMultilevel"/>
    <w:tmpl w:val="83EA1CC8"/>
    <w:lvl w:ilvl="0" w:tplc="00DA126C">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B02E84"/>
    <w:multiLevelType w:val="hybridMultilevel"/>
    <w:tmpl w:val="7E52701C"/>
    <w:lvl w:ilvl="0" w:tplc="E33898C0">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DA34FE7"/>
    <w:multiLevelType w:val="hybridMultilevel"/>
    <w:tmpl w:val="83EA1CC8"/>
    <w:lvl w:ilvl="0" w:tplc="00DA126C">
      <w:start w:val="1"/>
      <w:numFmt w:val="lowerRoman"/>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8">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48B92853"/>
    <w:multiLevelType w:val="multilevel"/>
    <w:tmpl w:val="B66CF7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99E7200"/>
    <w:multiLevelType w:val="hybridMultilevel"/>
    <w:tmpl w:val="75F6D1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0D6A72"/>
    <w:multiLevelType w:val="hybridMultilevel"/>
    <w:tmpl w:val="FAEE3734"/>
    <w:lvl w:ilvl="0" w:tplc="E33898C0">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B98457E"/>
    <w:multiLevelType w:val="hybridMultilevel"/>
    <w:tmpl w:val="786C6688"/>
    <w:lvl w:ilvl="0" w:tplc="E33898C0">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6">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40172C9"/>
    <w:multiLevelType w:val="hybridMultilevel"/>
    <w:tmpl w:val="1166B664"/>
    <w:lvl w:ilvl="0" w:tplc="CE0E844E">
      <w:numFmt w:val="bullet"/>
      <w:lvlText w:val="-"/>
      <w:lvlJc w:val="left"/>
      <w:pPr>
        <w:ind w:left="720" w:hanging="360"/>
      </w:pPr>
      <w:rPr>
        <w:rFonts w:ascii="Georgia" w:eastAsia="Times New Roman"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0">
    <w:nsid w:val="55DE60E9"/>
    <w:multiLevelType w:val="hybridMultilevel"/>
    <w:tmpl w:val="1084069A"/>
    <w:lvl w:ilvl="0" w:tplc="B532C018">
      <w:start w:val="2"/>
      <w:numFmt w:val="upperRoman"/>
      <w:pStyle w:val="Titre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2">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6">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EA1592"/>
    <w:multiLevelType w:val="hybridMultilevel"/>
    <w:tmpl w:val="EE0856C8"/>
    <w:lvl w:ilvl="0" w:tplc="6100D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9870C5F"/>
    <w:multiLevelType w:val="hybridMultilevel"/>
    <w:tmpl w:val="716CCDC8"/>
    <w:lvl w:ilvl="0" w:tplc="C44E8248">
      <w:start w:val="1"/>
      <w:numFmt w:val="decimal"/>
      <w:pStyle w:val="Titre5"/>
      <w:lvlText w:val="Q%1:"/>
      <w:lvlJc w:val="left"/>
      <w:pPr>
        <w:ind w:left="360" w:hanging="360"/>
      </w:pPr>
      <w:rPr>
        <w:rFonts w:cs="Times New Roman" w:hint="default"/>
        <w:b/>
      </w:rPr>
    </w:lvl>
    <w:lvl w:ilvl="1" w:tplc="12102CAC">
      <w:start w:val="1"/>
      <w:numFmt w:val="lowerRoman"/>
      <w:lvlText w:val="(%2)"/>
      <w:lvlJc w:val="left"/>
      <w:pPr>
        <w:ind w:left="1800" w:hanging="720"/>
      </w:pPr>
      <w:rPr>
        <w:rFonts w:cs="Times New Roman"/>
        <w:i w:val="0"/>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1">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3"/>
  </w:num>
  <w:num w:numId="4">
    <w:abstractNumId w:val="27"/>
  </w:num>
  <w:num w:numId="5">
    <w:abstractNumId w:val="5"/>
  </w:num>
  <w:num w:numId="6">
    <w:abstractNumId w:val="30"/>
  </w:num>
  <w:num w:numId="7">
    <w:abstractNumId w:val="1"/>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26"/>
  </w:num>
  <w:num w:numId="15">
    <w:abstractNumId w:val="12"/>
  </w:num>
  <w:num w:numId="16">
    <w:abstractNumId w:val="2"/>
  </w:num>
  <w:num w:numId="17">
    <w:abstractNumId w:val="15"/>
  </w:num>
  <w:num w:numId="18">
    <w:abstractNumId w:val="16"/>
  </w:num>
  <w:num w:numId="19">
    <w:abstractNumId w:val="18"/>
  </w:num>
  <w:num w:numId="20">
    <w:abstractNumId w:val="31"/>
  </w:num>
  <w:num w:numId="21">
    <w:abstractNumId w:val="37"/>
  </w:num>
  <w:num w:numId="22">
    <w:abstractNumId w:val="29"/>
  </w:num>
  <w:num w:numId="23">
    <w:abstractNumId w:val="11"/>
  </w:num>
  <w:num w:numId="24">
    <w:abstractNumId w:val="34"/>
  </w:num>
  <w:num w:numId="25">
    <w:abstractNumId w:val="33"/>
  </w:num>
  <w:num w:numId="26">
    <w:abstractNumId w:val="20"/>
  </w:num>
  <w:num w:numId="27">
    <w:abstractNumId w:val="36"/>
  </w:num>
  <w:num w:numId="28">
    <w:abstractNumId w:val="41"/>
  </w:num>
  <w:num w:numId="29">
    <w:abstractNumId w:val="9"/>
  </w:num>
  <w:num w:numId="30">
    <w:abstractNumId w:val="6"/>
  </w:num>
  <w:num w:numId="31">
    <w:abstractNumId w:val="25"/>
  </w:num>
  <w:num w:numId="32">
    <w:abstractNumId w:val="3"/>
  </w:num>
  <w:num w:numId="33">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34">
    <w:abstractNumId w:val="40"/>
  </w:num>
  <w:num w:numId="35">
    <w:abstractNumId w:val="38"/>
  </w:num>
  <w:num w:numId="36">
    <w:abstractNumId w:val="21"/>
  </w:num>
  <w:num w:numId="37">
    <w:abstractNumId w:val="0"/>
    <w:lvlOverride w:ilvl="0">
      <w:startOverride w:val="1"/>
    </w:lvlOverride>
  </w:num>
  <w:num w:numId="38">
    <w:abstractNumId w:val="28"/>
  </w:num>
  <w:num w:numId="39">
    <w:abstractNumId w:val="4"/>
  </w:num>
  <w:num w:numId="40">
    <w:abstractNumId w:val="22"/>
  </w:num>
  <w:num w:numId="41">
    <w:abstractNumId w:val="24"/>
  </w:num>
  <w:num w:numId="42">
    <w:abstractNumId w:val="2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F01"/>
  <w:documentProtection w:edit="readOnly" w:enforcement="1" w:cryptProviderType="rsaFull" w:cryptAlgorithmClass="hash" w:cryptAlgorithmType="typeAny" w:cryptAlgorithmSid="4" w:cryptSpinCount="100000" w:hash="tUoFXd+EZ4hAlmNkbsvJyl5nGfc=" w:salt="ZgOvKpV0Euf98kucWRvogA=="/>
  <w:defaultTabStop w:val="709"/>
  <w:autoHyphenation/>
  <w:hyphenationZone w:val="567"/>
  <w:characterSpacingControl w:val="doNotCompress"/>
  <w:hdrShapeDefaults>
    <o:shapedefaults v:ext="edit" spidmax="2051">
      <o:colormru v:ext="edit" colors="#2d4491,#283583"/>
    </o:shapedefaults>
    <o:shapelayout v:ext="edit">
      <o:idmap v:ext="edit" data="2"/>
    </o:shapelayout>
  </w:hdrShapeDefaults>
  <w:footnotePr>
    <w:footnote w:id="-1"/>
    <w:footnote w:id="0"/>
    <w:footnote w:id="1"/>
  </w:footnotePr>
  <w:endnotePr>
    <w:endnote w:id="-1"/>
    <w:endnote w:id="0"/>
    <w:endnote w:id="1"/>
  </w:endnotePr>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6337"/>
    <w:rsid w:val="0001774B"/>
    <w:rsid w:val="00020D0F"/>
    <w:rsid w:val="000215EB"/>
    <w:rsid w:val="00023713"/>
    <w:rsid w:val="00023C4D"/>
    <w:rsid w:val="00025E71"/>
    <w:rsid w:val="00026269"/>
    <w:rsid w:val="00027154"/>
    <w:rsid w:val="00027ECF"/>
    <w:rsid w:val="000303BE"/>
    <w:rsid w:val="000344D6"/>
    <w:rsid w:val="00034960"/>
    <w:rsid w:val="0003520A"/>
    <w:rsid w:val="00036FAE"/>
    <w:rsid w:val="00041858"/>
    <w:rsid w:val="0004389E"/>
    <w:rsid w:val="0004462D"/>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DF2"/>
    <w:rsid w:val="000C06C9"/>
    <w:rsid w:val="000C1DCC"/>
    <w:rsid w:val="000C1FBC"/>
    <w:rsid w:val="000C2B6A"/>
    <w:rsid w:val="000C2F88"/>
    <w:rsid w:val="000C55C8"/>
    <w:rsid w:val="000C57C4"/>
    <w:rsid w:val="000C5E9B"/>
    <w:rsid w:val="000C5FD3"/>
    <w:rsid w:val="000C701D"/>
    <w:rsid w:val="000C7C4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BAC"/>
    <w:rsid w:val="0014544B"/>
    <w:rsid w:val="001459E3"/>
    <w:rsid w:val="00146A0B"/>
    <w:rsid w:val="0014761E"/>
    <w:rsid w:val="00151907"/>
    <w:rsid w:val="00151C82"/>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686"/>
    <w:rsid w:val="00181BD1"/>
    <w:rsid w:val="0018204A"/>
    <w:rsid w:val="00182F7C"/>
    <w:rsid w:val="001843B5"/>
    <w:rsid w:val="00186829"/>
    <w:rsid w:val="001868CA"/>
    <w:rsid w:val="00187304"/>
    <w:rsid w:val="001875BE"/>
    <w:rsid w:val="0019017A"/>
    <w:rsid w:val="00190B8C"/>
    <w:rsid w:val="00190FF8"/>
    <w:rsid w:val="0019311A"/>
    <w:rsid w:val="0019508A"/>
    <w:rsid w:val="001956D2"/>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31C3"/>
    <w:rsid w:val="001C4679"/>
    <w:rsid w:val="001C5770"/>
    <w:rsid w:val="001C6195"/>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97B"/>
    <w:rsid w:val="002005A6"/>
    <w:rsid w:val="00204CBC"/>
    <w:rsid w:val="002051F1"/>
    <w:rsid w:val="002067BA"/>
    <w:rsid w:val="0021058D"/>
    <w:rsid w:val="00211E2F"/>
    <w:rsid w:val="00211E9E"/>
    <w:rsid w:val="00214479"/>
    <w:rsid w:val="00214FB4"/>
    <w:rsid w:val="00215940"/>
    <w:rsid w:val="00215F00"/>
    <w:rsid w:val="00217C23"/>
    <w:rsid w:val="00220561"/>
    <w:rsid w:val="00220CE4"/>
    <w:rsid w:val="00222D9B"/>
    <w:rsid w:val="00223788"/>
    <w:rsid w:val="00223D11"/>
    <w:rsid w:val="002242D3"/>
    <w:rsid w:val="002301E6"/>
    <w:rsid w:val="00232F90"/>
    <w:rsid w:val="00233B08"/>
    <w:rsid w:val="00233C3B"/>
    <w:rsid w:val="002344DB"/>
    <w:rsid w:val="0023499C"/>
    <w:rsid w:val="00235CE3"/>
    <w:rsid w:val="0023636A"/>
    <w:rsid w:val="00236F34"/>
    <w:rsid w:val="002372F7"/>
    <w:rsid w:val="00240651"/>
    <w:rsid w:val="00240803"/>
    <w:rsid w:val="0024426D"/>
    <w:rsid w:val="00244369"/>
    <w:rsid w:val="00244F1D"/>
    <w:rsid w:val="00245004"/>
    <w:rsid w:val="00245FB4"/>
    <w:rsid w:val="00250898"/>
    <w:rsid w:val="00251EA9"/>
    <w:rsid w:val="00252843"/>
    <w:rsid w:val="002543F8"/>
    <w:rsid w:val="002551A4"/>
    <w:rsid w:val="002559F3"/>
    <w:rsid w:val="00256DFE"/>
    <w:rsid w:val="002618C7"/>
    <w:rsid w:val="00261D56"/>
    <w:rsid w:val="00261FD3"/>
    <w:rsid w:val="00263968"/>
    <w:rsid w:val="00264077"/>
    <w:rsid w:val="00266B9A"/>
    <w:rsid w:val="00270E54"/>
    <w:rsid w:val="00273681"/>
    <w:rsid w:val="002754B5"/>
    <w:rsid w:val="002764C5"/>
    <w:rsid w:val="002772AE"/>
    <w:rsid w:val="002777CA"/>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96EE9"/>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3E49"/>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82D"/>
    <w:rsid w:val="00324FDB"/>
    <w:rsid w:val="00325F48"/>
    <w:rsid w:val="00331825"/>
    <w:rsid w:val="0033194F"/>
    <w:rsid w:val="00332406"/>
    <w:rsid w:val="00332D8D"/>
    <w:rsid w:val="00336B56"/>
    <w:rsid w:val="00341B25"/>
    <w:rsid w:val="00341EC0"/>
    <w:rsid w:val="0034240C"/>
    <w:rsid w:val="00344496"/>
    <w:rsid w:val="00345968"/>
    <w:rsid w:val="0034668E"/>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AEF"/>
    <w:rsid w:val="00376367"/>
    <w:rsid w:val="00376B02"/>
    <w:rsid w:val="0037733A"/>
    <w:rsid w:val="003776DC"/>
    <w:rsid w:val="003779C1"/>
    <w:rsid w:val="00380FEC"/>
    <w:rsid w:val="00381226"/>
    <w:rsid w:val="00381FF6"/>
    <w:rsid w:val="00383D7D"/>
    <w:rsid w:val="00384CCE"/>
    <w:rsid w:val="003865E5"/>
    <w:rsid w:val="003926C1"/>
    <w:rsid w:val="00392900"/>
    <w:rsid w:val="00393357"/>
    <w:rsid w:val="00395E7B"/>
    <w:rsid w:val="00395EF9"/>
    <w:rsid w:val="00395F4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A4C"/>
    <w:rsid w:val="003C4F05"/>
    <w:rsid w:val="003C6191"/>
    <w:rsid w:val="003C6E49"/>
    <w:rsid w:val="003D0CBF"/>
    <w:rsid w:val="003D0DD6"/>
    <w:rsid w:val="003D4B73"/>
    <w:rsid w:val="003D503B"/>
    <w:rsid w:val="003D605E"/>
    <w:rsid w:val="003D61D1"/>
    <w:rsid w:val="003D6780"/>
    <w:rsid w:val="003D6FCB"/>
    <w:rsid w:val="003E0F84"/>
    <w:rsid w:val="003E1CD1"/>
    <w:rsid w:val="003E1FF3"/>
    <w:rsid w:val="003E3ACA"/>
    <w:rsid w:val="003E50EA"/>
    <w:rsid w:val="003E68C7"/>
    <w:rsid w:val="003E79B0"/>
    <w:rsid w:val="003F0403"/>
    <w:rsid w:val="003F1094"/>
    <w:rsid w:val="003F2E45"/>
    <w:rsid w:val="003F3EFE"/>
    <w:rsid w:val="003F40B8"/>
    <w:rsid w:val="003F5261"/>
    <w:rsid w:val="003F5C06"/>
    <w:rsid w:val="00400195"/>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2E75"/>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62E9"/>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88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2D3A"/>
    <w:rsid w:val="004D374D"/>
    <w:rsid w:val="004D42C8"/>
    <w:rsid w:val="004D4F57"/>
    <w:rsid w:val="004D50F6"/>
    <w:rsid w:val="004D5A0D"/>
    <w:rsid w:val="004D7910"/>
    <w:rsid w:val="004D7DEA"/>
    <w:rsid w:val="004E0A28"/>
    <w:rsid w:val="004E1A0F"/>
    <w:rsid w:val="004E2E89"/>
    <w:rsid w:val="004E33C2"/>
    <w:rsid w:val="004E3B9A"/>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0C18"/>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6379"/>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E5"/>
    <w:rsid w:val="00566D36"/>
    <w:rsid w:val="00567DF6"/>
    <w:rsid w:val="00573569"/>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1EAC"/>
    <w:rsid w:val="005A2B3E"/>
    <w:rsid w:val="005A3609"/>
    <w:rsid w:val="005A3644"/>
    <w:rsid w:val="005A4087"/>
    <w:rsid w:val="005A4B18"/>
    <w:rsid w:val="005A537E"/>
    <w:rsid w:val="005A6F43"/>
    <w:rsid w:val="005A767D"/>
    <w:rsid w:val="005A7ADB"/>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663C"/>
    <w:rsid w:val="005C686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1C0"/>
    <w:rsid w:val="005F028E"/>
    <w:rsid w:val="005F04B4"/>
    <w:rsid w:val="005F11A4"/>
    <w:rsid w:val="005F19F8"/>
    <w:rsid w:val="005F3FB1"/>
    <w:rsid w:val="005F5ACF"/>
    <w:rsid w:val="005F60DC"/>
    <w:rsid w:val="006000DD"/>
    <w:rsid w:val="00600F63"/>
    <w:rsid w:val="006012E1"/>
    <w:rsid w:val="00602253"/>
    <w:rsid w:val="006023E1"/>
    <w:rsid w:val="00605531"/>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7520"/>
    <w:rsid w:val="00620D7C"/>
    <w:rsid w:val="00621089"/>
    <w:rsid w:val="00621E1F"/>
    <w:rsid w:val="006228B2"/>
    <w:rsid w:val="006228E1"/>
    <w:rsid w:val="00622E32"/>
    <w:rsid w:val="00623688"/>
    <w:rsid w:val="006247E0"/>
    <w:rsid w:val="00625F82"/>
    <w:rsid w:val="00627999"/>
    <w:rsid w:val="00630468"/>
    <w:rsid w:val="00630FF7"/>
    <w:rsid w:val="00633433"/>
    <w:rsid w:val="006341B5"/>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9A8"/>
    <w:rsid w:val="00690F0E"/>
    <w:rsid w:val="006911C0"/>
    <w:rsid w:val="00691B7C"/>
    <w:rsid w:val="00694B73"/>
    <w:rsid w:val="00694DF2"/>
    <w:rsid w:val="00695F80"/>
    <w:rsid w:val="006966CD"/>
    <w:rsid w:val="00696735"/>
    <w:rsid w:val="0069780E"/>
    <w:rsid w:val="006A2CA2"/>
    <w:rsid w:val="006B2D40"/>
    <w:rsid w:val="006B342B"/>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4391"/>
    <w:rsid w:val="00724C18"/>
    <w:rsid w:val="00726630"/>
    <w:rsid w:val="00727755"/>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556"/>
    <w:rsid w:val="007E5E44"/>
    <w:rsid w:val="007F0DDA"/>
    <w:rsid w:val="007F1939"/>
    <w:rsid w:val="007F2495"/>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15554"/>
    <w:rsid w:val="00820623"/>
    <w:rsid w:val="00821747"/>
    <w:rsid w:val="008229A3"/>
    <w:rsid w:val="00822DFB"/>
    <w:rsid w:val="00822F64"/>
    <w:rsid w:val="008253A6"/>
    <w:rsid w:val="00825A6B"/>
    <w:rsid w:val="00825C50"/>
    <w:rsid w:val="00826577"/>
    <w:rsid w:val="00827439"/>
    <w:rsid w:val="00827C79"/>
    <w:rsid w:val="0083003F"/>
    <w:rsid w:val="00831077"/>
    <w:rsid w:val="008318E7"/>
    <w:rsid w:val="008319C1"/>
    <w:rsid w:val="00831A4A"/>
    <w:rsid w:val="00832134"/>
    <w:rsid w:val="0083219E"/>
    <w:rsid w:val="0083497C"/>
    <w:rsid w:val="008352A6"/>
    <w:rsid w:val="00835B5B"/>
    <w:rsid w:val="008367AE"/>
    <w:rsid w:val="00836E50"/>
    <w:rsid w:val="00840477"/>
    <w:rsid w:val="0084121D"/>
    <w:rsid w:val="008419C1"/>
    <w:rsid w:val="00844515"/>
    <w:rsid w:val="00844DFF"/>
    <w:rsid w:val="00845D87"/>
    <w:rsid w:val="00846C3A"/>
    <w:rsid w:val="008477BF"/>
    <w:rsid w:val="008503DA"/>
    <w:rsid w:val="00850B68"/>
    <w:rsid w:val="00850E82"/>
    <w:rsid w:val="0085122D"/>
    <w:rsid w:val="008525FF"/>
    <w:rsid w:val="00852C03"/>
    <w:rsid w:val="00853DF5"/>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696"/>
    <w:rsid w:val="00885E6F"/>
    <w:rsid w:val="0088604A"/>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5FA4"/>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60B3"/>
    <w:rsid w:val="0095745E"/>
    <w:rsid w:val="00957CE0"/>
    <w:rsid w:val="0096002E"/>
    <w:rsid w:val="0096039E"/>
    <w:rsid w:val="00962CEF"/>
    <w:rsid w:val="00963766"/>
    <w:rsid w:val="00963BDC"/>
    <w:rsid w:val="00963FDF"/>
    <w:rsid w:val="0096528F"/>
    <w:rsid w:val="009653F2"/>
    <w:rsid w:val="009661DF"/>
    <w:rsid w:val="009667BD"/>
    <w:rsid w:val="00967CE2"/>
    <w:rsid w:val="00971DA3"/>
    <w:rsid w:val="00972161"/>
    <w:rsid w:val="0097261B"/>
    <w:rsid w:val="00974881"/>
    <w:rsid w:val="0097606C"/>
    <w:rsid w:val="0097701B"/>
    <w:rsid w:val="009771D1"/>
    <w:rsid w:val="0098012D"/>
    <w:rsid w:val="00980845"/>
    <w:rsid w:val="00981BD9"/>
    <w:rsid w:val="0098225F"/>
    <w:rsid w:val="00983A3C"/>
    <w:rsid w:val="00983EFA"/>
    <w:rsid w:val="00984C15"/>
    <w:rsid w:val="00987829"/>
    <w:rsid w:val="00991276"/>
    <w:rsid w:val="009923E7"/>
    <w:rsid w:val="00992697"/>
    <w:rsid w:val="009943A7"/>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B7FB4"/>
    <w:rsid w:val="009C10FE"/>
    <w:rsid w:val="009C13BC"/>
    <w:rsid w:val="009C1CA4"/>
    <w:rsid w:val="009C2532"/>
    <w:rsid w:val="009C2BA4"/>
    <w:rsid w:val="009C6091"/>
    <w:rsid w:val="009C634F"/>
    <w:rsid w:val="009C7A70"/>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4362"/>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6EE3"/>
    <w:rsid w:val="00A37435"/>
    <w:rsid w:val="00A4173D"/>
    <w:rsid w:val="00A41A95"/>
    <w:rsid w:val="00A4248B"/>
    <w:rsid w:val="00A42F7C"/>
    <w:rsid w:val="00A4376E"/>
    <w:rsid w:val="00A4572B"/>
    <w:rsid w:val="00A46246"/>
    <w:rsid w:val="00A46349"/>
    <w:rsid w:val="00A46D5E"/>
    <w:rsid w:val="00A47063"/>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173"/>
    <w:rsid w:val="00A84945"/>
    <w:rsid w:val="00A85543"/>
    <w:rsid w:val="00A91682"/>
    <w:rsid w:val="00A92E4A"/>
    <w:rsid w:val="00A958CA"/>
    <w:rsid w:val="00A966B6"/>
    <w:rsid w:val="00A96B46"/>
    <w:rsid w:val="00AA003B"/>
    <w:rsid w:val="00AA016B"/>
    <w:rsid w:val="00AA15DD"/>
    <w:rsid w:val="00AA1A78"/>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E"/>
    <w:rsid w:val="00AD0CB4"/>
    <w:rsid w:val="00AD1FF2"/>
    <w:rsid w:val="00AD2A21"/>
    <w:rsid w:val="00AD3B43"/>
    <w:rsid w:val="00AD4FF2"/>
    <w:rsid w:val="00AD506C"/>
    <w:rsid w:val="00AD6BE5"/>
    <w:rsid w:val="00AD783E"/>
    <w:rsid w:val="00AE1393"/>
    <w:rsid w:val="00AE3BC6"/>
    <w:rsid w:val="00AE4D4F"/>
    <w:rsid w:val="00AE59D8"/>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70E"/>
    <w:rsid w:val="00B176B9"/>
    <w:rsid w:val="00B17AD5"/>
    <w:rsid w:val="00B17DC8"/>
    <w:rsid w:val="00B17E1E"/>
    <w:rsid w:val="00B207F1"/>
    <w:rsid w:val="00B20A42"/>
    <w:rsid w:val="00B20BDE"/>
    <w:rsid w:val="00B20C41"/>
    <w:rsid w:val="00B2112A"/>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02D3"/>
    <w:rsid w:val="00BA1354"/>
    <w:rsid w:val="00BA24F8"/>
    <w:rsid w:val="00BA31AA"/>
    <w:rsid w:val="00BA45D8"/>
    <w:rsid w:val="00BA5828"/>
    <w:rsid w:val="00BA64B3"/>
    <w:rsid w:val="00BA754A"/>
    <w:rsid w:val="00BA7820"/>
    <w:rsid w:val="00BA794C"/>
    <w:rsid w:val="00BB238D"/>
    <w:rsid w:val="00BB37CC"/>
    <w:rsid w:val="00BB48C4"/>
    <w:rsid w:val="00BB6907"/>
    <w:rsid w:val="00BB7A20"/>
    <w:rsid w:val="00BC15B1"/>
    <w:rsid w:val="00BC3C06"/>
    <w:rsid w:val="00BC4E8B"/>
    <w:rsid w:val="00BC4F2D"/>
    <w:rsid w:val="00BC5622"/>
    <w:rsid w:val="00BC6060"/>
    <w:rsid w:val="00BC7897"/>
    <w:rsid w:val="00BD0F35"/>
    <w:rsid w:val="00BD45A4"/>
    <w:rsid w:val="00BD4A5F"/>
    <w:rsid w:val="00BD59AA"/>
    <w:rsid w:val="00BD65E6"/>
    <w:rsid w:val="00BD6AF7"/>
    <w:rsid w:val="00BE19EF"/>
    <w:rsid w:val="00BE425B"/>
    <w:rsid w:val="00BE47F4"/>
    <w:rsid w:val="00BE51BB"/>
    <w:rsid w:val="00BE7595"/>
    <w:rsid w:val="00BE77D3"/>
    <w:rsid w:val="00BE7DFC"/>
    <w:rsid w:val="00BF0138"/>
    <w:rsid w:val="00BF0E85"/>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4749"/>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FC1"/>
    <w:rsid w:val="00C56438"/>
    <w:rsid w:val="00C570B3"/>
    <w:rsid w:val="00C6009F"/>
    <w:rsid w:val="00C60417"/>
    <w:rsid w:val="00C6046F"/>
    <w:rsid w:val="00C638C2"/>
    <w:rsid w:val="00C651D4"/>
    <w:rsid w:val="00C6669E"/>
    <w:rsid w:val="00C672B0"/>
    <w:rsid w:val="00C729C7"/>
    <w:rsid w:val="00C7564E"/>
    <w:rsid w:val="00C777AD"/>
    <w:rsid w:val="00C80C53"/>
    <w:rsid w:val="00C81195"/>
    <w:rsid w:val="00C8284A"/>
    <w:rsid w:val="00C85387"/>
    <w:rsid w:val="00C85E52"/>
    <w:rsid w:val="00C86471"/>
    <w:rsid w:val="00C8677B"/>
    <w:rsid w:val="00C86F96"/>
    <w:rsid w:val="00C909C6"/>
    <w:rsid w:val="00C923B7"/>
    <w:rsid w:val="00C94D4C"/>
    <w:rsid w:val="00CA012C"/>
    <w:rsid w:val="00CA0AA6"/>
    <w:rsid w:val="00CA1E39"/>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1C71"/>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74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28FB"/>
    <w:rsid w:val="00D25AC4"/>
    <w:rsid w:val="00D305F6"/>
    <w:rsid w:val="00D30B25"/>
    <w:rsid w:val="00D3175A"/>
    <w:rsid w:val="00D31A00"/>
    <w:rsid w:val="00D323E4"/>
    <w:rsid w:val="00D32871"/>
    <w:rsid w:val="00D33881"/>
    <w:rsid w:val="00D366B1"/>
    <w:rsid w:val="00D37AE0"/>
    <w:rsid w:val="00D416A8"/>
    <w:rsid w:val="00D4257C"/>
    <w:rsid w:val="00D425AC"/>
    <w:rsid w:val="00D42823"/>
    <w:rsid w:val="00D42D5E"/>
    <w:rsid w:val="00D43F14"/>
    <w:rsid w:val="00D44C18"/>
    <w:rsid w:val="00D4556D"/>
    <w:rsid w:val="00D511C6"/>
    <w:rsid w:val="00D5121D"/>
    <w:rsid w:val="00D516AC"/>
    <w:rsid w:val="00D52875"/>
    <w:rsid w:val="00D54050"/>
    <w:rsid w:val="00D56AC0"/>
    <w:rsid w:val="00D60546"/>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7035"/>
    <w:rsid w:val="00DF12E3"/>
    <w:rsid w:val="00DF3F1D"/>
    <w:rsid w:val="00DF595C"/>
    <w:rsid w:val="00DF7EA7"/>
    <w:rsid w:val="00E0416E"/>
    <w:rsid w:val="00E04548"/>
    <w:rsid w:val="00E0484E"/>
    <w:rsid w:val="00E063F8"/>
    <w:rsid w:val="00E114D6"/>
    <w:rsid w:val="00E1166E"/>
    <w:rsid w:val="00E11DBD"/>
    <w:rsid w:val="00E13211"/>
    <w:rsid w:val="00E16FB5"/>
    <w:rsid w:val="00E16FD6"/>
    <w:rsid w:val="00E179D6"/>
    <w:rsid w:val="00E17C50"/>
    <w:rsid w:val="00E21407"/>
    <w:rsid w:val="00E22668"/>
    <w:rsid w:val="00E227D3"/>
    <w:rsid w:val="00E22BFF"/>
    <w:rsid w:val="00E22CB0"/>
    <w:rsid w:val="00E23798"/>
    <w:rsid w:val="00E2585D"/>
    <w:rsid w:val="00E25DBD"/>
    <w:rsid w:val="00E25E47"/>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47C7A"/>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9FE"/>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D7C"/>
    <w:rsid w:val="00EF3515"/>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2081B"/>
    <w:rsid w:val="00F20A43"/>
    <w:rsid w:val="00F20C51"/>
    <w:rsid w:val="00F21049"/>
    <w:rsid w:val="00F218AE"/>
    <w:rsid w:val="00F22232"/>
    <w:rsid w:val="00F2228E"/>
    <w:rsid w:val="00F22D3C"/>
    <w:rsid w:val="00F23C3D"/>
    <w:rsid w:val="00F23D66"/>
    <w:rsid w:val="00F24E6F"/>
    <w:rsid w:val="00F26069"/>
    <w:rsid w:val="00F26B7E"/>
    <w:rsid w:val="00F26DD1"/>
    <w:rsid w:val="00F27D7D"/>
    <w:rsid w:val="00F3002B"/>
    <w:rsid w:val="00F30BC9"/>
    <w:rsid w:val="00F32FF7"/>
    <w:rsid w:val="00F33EDE"/>
    <w:rsid w:val="00F3568B"/>
    <w:rsid w:val="00F377CD"/>
    <w:rsid w:val="00F40C3B"/>
    <w:rsid w:val="00F40CE0"/>
    <w:rsid w:val="00F42DBC"/>
    <w:rsid w:val="00F4308D"/>
    <w:rsid w:val="00F44012"/>
    <w:rsid w:val="00F44947"/>
    <w:rsid w:val="00F45029"/>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CB"/>
    <w:rsid w:val="00F71AC2"/>
    <w:rsid w:val="00F739D4"/>
    <w:rsid w:val="00F77601"/>
    <w:rsid w:val="00F77D43"/>
    <w:rsid w:val="00F80953"/>
    <w:rsid w:val="00F81312"/>
    <w:rsid w:val="00F81B90"/>
    <w:rsid w:val="00F81E6F"/>
    <w:rsid w:val="00F82FF3"/>
    <w:rsid w:val="00F8453C"/>
    <w:rsid w:val="00F84D4C"/>
    <w:rsid w:val="00F85D53"/>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3B24"/>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4B66"/>
    <w:rsid w:val="00FF6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2d4491,#28358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Titre1">
    <w:name w:val="heading 1"/>
    <w:basedOn w:val="Normal"/>
    <w:next w:val="Normal"/>
    <w:link w:val="Titre1Car"/>
    <w:qFormat/>
    <w:rsid w:val="009E7724"/>
    <w:pPr>
      <w:keepNext/>
      <w:numPr>
        <w:numId w:val="6"/>
      </w:numPr>
      <w:spacing w:before="240" w:after="60"/>
      <w:outlineLvl w:val="0"/>
    </w:pPr>
    <w:rPr>
      <w:rFonts w:cs="Arial"/>
      <w:b/>
      <w:bCs/>
      <w:kern w:val="32"/>
      <w:sz w:val="24"/>
      <w:szCs w:val="32"/>
    </w:rPr>
  </w:style>
  <w:style w:type="paragraph" w:styleId="Titre2">
    <w:name w:val="heading 2"/>
    <w:basedOn w:val="Normal"/>
    <w:next w:val="Normal"/>
    <w:link w:val="Titre2Car"/>
    <w:qFormat/>
    <w:rsid w:val="00886A60"/>
    <w:pPr>
      <w:keepNext/>
      <w:keepLines/>
      <w:spacing w:before="200" w:after="120"/>
      <w:outlineLvl w:val="1"/>
    </w:pPr>
    <w:rPr>
      <w:b/>
      <w:bCs/>
      <w:szCs w:val="26"/>
    </w:rPr>
  </w:style>
  <w:style w:type="paragraph" w:styleId="Titre3">
    <w:name w:val="heading 3"/>
    <w:basedOn w:val="Normal"/>
    <w:next w:val="Normal"/>
    <w:link w:val="Titre3Car"/>
    <w:qFormat/>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qFormat/>
    <w:rsid w:val="00510C18"/>
    <w:pPr>
      <w:numPr>
        <w:numId w:val="34"/>
      </w:numPr>
      <w:jc w:val="both"/>
      <w:outlineLvl w:val="4"/>
    </w:pPr>
    <w:rPr>
      <w:b/>
    </w:rPr>
  </w:style>
  <w:style w:type="paragraph" w:styleId="Titre6">
    <w:name w:val="heading 6"/>
    <w:basedOn w:val="Normal"/>
    <w:next w:val="Normal"/>
    <w:link w:val="Titre6Car"/>
    <w:qFormat/>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rsid w:val="00A06867"/>
    <w:pPr>
      <w:tabs>
        <w:tab w:val="num" w:pos="1584"/>
      </w:tabs>
      <w:spacing w:before="240" w:after="60"/>
      <w:ind w:left="1584" w:hanging="1584"/>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B64CB"/>
    <w:pPr>
      <w:tabs>
        <w:tab w:val="center" w:pos="4536"/>
        <w:tab w:val="right" w:pos="9072"/>
      </w:tabs>
    </w:pPr>
  </w:style>
  <w:style w:type="paragraph" w:styleId="Pieddepage">
    <w:name w:val="footer"/>
    <w:basedOn w:val="Normal"/>
    <w:link w:val="PieddepageCar"/>
    <w:rsid w:val="005B64CB"/>
    <w:pPr>
      <w:tabs>
        <w:tab w:val="center" w:pos="4536"/>
        <w:tab w:val="right" w:pos="9072"/>
      </w:tabs>
    </w:pPr>
  </w:style>
  <w:style w:type="table" w:styleId="Grilledutableau">
    <w:name w:val="Table Grid"/>
    <w:basedOn w:val="Tableau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Numrodepage">
    <w:name w:val="page number"/>
    <w:basedOn w:val="Policepardfau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Lienhypertexte">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uiPriority w:val="99"/>
    <w:rsid w:val="001725A5"/>
    <w:pPr>
      <w:spacing w:line="200" w:lineRule="exact"/>
    </w:pPr>
    <w:rPr>
      <w:sz w:val="16"/>
      <w:szCs w:val="20"/>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rsid w:val="00C274F3"/>
    <w:rPr>
      <w:vertAlign w:val="superscript"/>
    </w:rPr>
  </w:style>
  <w:style w:type="paragraph" w:styleId="TM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Marquedecommentaire">
    <w:name w:val="annotation reference"/>
    <w:rsid w:val="004B1E61"/>
    <w:rPr>
      <w:sz w:val="16"/>
      <w:szCs w:val="16"/>
    </w:rPr>
  </w:style>
  <w:style w:type="paragraph" w:styleId="Commentaire">
    <w:name w:val="annotation text"/>
    <w:basedOn w:val="Normal"/>
    <w:link w:val="CommentaireCar"/>
    <w:rsid w:val="004B1E61"/>
    <w:rPr>
      <w:szCs w:val="20"/>
    </w:rPr>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
    <w:basedOn w:val="Normal"/>
    <w:link w:val="ParagraphedelisteCar"/>
    <w:uiPriority w:val="34"/>
    <w:qFormat/>
    <w:rsid w:val="002A0C82"/>
    <w:pPr>
      <w:ind w:left="720"/>
      <w:contextualSpacing/>
    </w:pPr>
  </w:style>
  <w:style w:type="paragraph" w:styleId="En-ttedetabledesmatires">
    <w:name w:val="TOC Heading"/>
    <w:basedOn w:val="Titre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Accentuation">
    <w:name w:val="Emphasis"/>
    <w:uiPriority w:val="20"/>
    <w:qFormat/>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M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M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M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M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M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M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Lgende">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Explorateurdedocuments">
    <w:name w:val="Document Map"/>
    <w:basedOn w:val="Normal"/>
    <w:link w:val="ExplorateurdedocumentsCar"/>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rsid w:val="00AA016B"/>
    <w:pPr>
      <w:numPr>
        <w:numId w:val="9"/>
      </w:numPr>
      <w:spacing w:after="240"/>
      <w:jc w:val="both"/>
    </w:pPr>
    <w:rPr>
      <w:rFonts w:ascii="Times New Roman" w:hAnsi="Times New Roman"/>
      <w:sz w:val="24"/>
      <w:szCs w:val="20"/>
      <w:lang w:eastAsia="en-GB"/>
    </w:rPr>
  </w:style>
  <w:style w:type="character" w:customStyle="1" w:styleId="CorpsdetexteCar">
    <w:name w:val="Corps de texte Car"/>
    <w:link w:val="Corpsdetexte"/>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lev">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b/>
      <w:bCs/>
      <w:szCs w:val="22"/>
      <w:lang w:val="en-GB" w:eastAsia="de-DE"/>
    </w:rPr>
  </w:style>
  <w:style w:type="character" w:customStyle="1" w:styleId="Titre8Car">
    <w:name w:val="Titre 8 Car"/>
    <w:link w:val="Titre8"/>
    <w:rsid w:val="002D6E1A"/>
    <w:rPr>
      <w:i/>
      <w:iCs/>
      <w:szCs w:val="24"/>
      <w:lang w:val="en-GB" w:eastAsia="de-DE"/>
    </w:rPr>
  </w:style>
  <w:style w:type="numbering" w:customStyle="1" w:styleId="NoList1">
    <w:name w:val="No List1"/>
    <w:next w:val="Aucuneliste"/>
    <w:uiPriority w:val="99"/>
    <w:semiHidden/>
    <w:unhideWhenUsed/>
    <w:rsid w:val="002D6E1A"/>
  </w:style>
  <w:style w:type="character" w:styleId="Lienhypertextesuivivisit">
    <w:name w:val="FollowedHyperlink"/>
    <w:unhideWhenUsed/>
    <w:rsid w:val="002D6E1A"/>
    <w:rPr>
      <w:color w:val="800080"/>
      <w:u w:val="single"/>
    </w:rPr>
  </w:style>
  <w:style w:type="character" w:customStyle="1" w:styleId="En-tteCar">
    <w:name w:val="En-tête Car"/>
    <w:link w:val="En-tte"/>
    <w:rsid w:val="002D6E1A"/>
    <w:rPr>
      <w:rFonts w:ascii="Georgia" w:hAnsi="Georgia"/>
      <w:sz w:val="22"/>
      <w:szCs w:val="24"/>
      <w:lang w:eastAsia="de-DE"/>
    </w:rPr>
  </w:style>
  <w:style w:type="character" w:customStyle="1" w:styleId="PieddepageCar">
    <w:name w:val="Pied de page Car"/>
    <w:link w:val="Pieddepage"/>
    <w:rsid w:val="002D6E1A"/>
    <w:rPr>
      <w:rFonts w:ascii="Georgia" w:hAnsi="Georgia"/>
      <w:sz w:val="22"/>
      <w:szCs w:val="24"/>
      <w:lang w:eastAsia="de-DE"/>
    </w:rPr>
  </w:style>
  <w:style w:type="paragraph" w:styleId="Notedefin">
    <w:name w:val="endnote text"/>
    <w:basedOn w:val="Normal"/>
    <w:link w:val="NotedefinCar"/>
    <w:unhideWhenUsed/>
    <w:rsid w:val="002D6E1A"/>
    <w:rPr>
      <w:szCs w:val="20"/>
    </w:rPr>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ParagraphedelisteCar">
    <w:name w:val="Paragraphe de liste Car"/>
    <w:aliases w:val="Paragraphe EI Car,Paragraphe de liste1 Car,EC Car"/>
    <w:link w:val="Paragraphedeliste"/>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Appeldenotedefin">
    <w:name w:val="endnote reference"/>
    <w:unhideWhenUsed/>
    <w:rsid w:val="002D6E1A"/>
    <w:rPr>
      <w:vertAlign w:val="superscript"/>
    </w:rPr>
  </w:style>
  <w:style w:type="character" w:styleId="Textedelespacerserv">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au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Aucu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Titre5Car">
    <w:name w:val="Titre 5 Car"/>
    <w:aliases w:val="Questions Car"/>
    <w:link w:val="Titre5"/>
    <w:rsid w:val="00510C18"/>
    <w:rPr>
      <w:rFonts w:ascii="Georgia" w:hAnsi="Georgia"/>
      <w:b/>
      <w:szCs w:val="24"/>
      <w:lang w:val="en-GB" w:eastAsia="de-DE"/>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Titre2"/>
    <w:rsid w:val="000D2D0B"/>
    <w:pPr>
      <w:keepNext w:val="0"/>
      <w:keepLines w:val="0"/>
      <w:tabs>
        <w:tab w:val="num" w:pos="567"/>
        <w:tab w:val="left" w:pos="851"/>
      </w:tabs>
      <w:suppressAutoHyphens/>
      <w:spacing w:before="0" w:after="250" w:line="250" w:lineRule="exact"/>
      <w:ind w:left="568" w:hanging="284"/>
      <w:jc w:val="both"/>
    </w:pPr>
    <w:rPr>
      <w:b w:val="0"/>
      <w:iCs/>
      <w:szCs w:val="20"/>
      <w:lang w:val="fr-FR"/>
    </w:rPr>
  </w:style>
  <w:style w:type="character" w:customStyle="1" w:styleId="WW8Num4z1">
    <w:name w:val="WW8Num4z1"/>
    <w:rsid w:val="000D2D0B"/>
    <w:rPr>
      <w:rFonts w:ascii="Courier New" w:hAnsi="Courier New" w:cs="Courier New"/>
    </w:rPr>
  </w:style>
  <w:style w:type="paragraph" w:customStyle="1" w:styleId="TOCHeading1">
    <w:name w:val="TOC Heading1"/>
    <w:basedOn w:val="Titre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Titre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enumros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enumros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enumros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epuces">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epuces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epuces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epuces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desillustration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re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rPr>
  </w:style>
  <w:style w:type="paragraph" w:customStyle="1" w:styleId="04fBodytextline">
    <w:name w:val="04f_Body text line"/>
    <w:basedOn w:val="04BodyText"/>
    <w:rsid w:val="000D2D0B"/>
    <w:pPr>
      <w:pBdr>
        <w:bottom w:val="single" w:sz="4" w:space="12" w:color="000000"/>
      </w:pBdr>
      <w:tabs>
        <w:tab w:val="left" w:pos="454"/>
      </w:tabs>
    </w:pPr>
    <w:rPr>
      <w:color w:val="000000"/>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rPr>
  </w:style>
  <w:style w:type="character" w:customStyle="1" w:styleId="04RunningTextChar">
    <w:name w:val="04_Running Text Char"/>
    <w:link w:val="04RunningText"/>
    <w:rsid w:val="000D2D0B"/>
    <w:rPr>
      <w:rFonts w:ascii="Georgia" w:hAnsi="Georgia"/>
      <w:szCs w:val="24"/>
      <w:lang w:eastAsia="de-DE"/>
    </w:rPr>
  </w:style>
  <w:style w:type="character" w:customStyle="1" w:styleId="AnnexChar">
    <w:name w:val="Annex Char"/>
    <w:link w:val="Annex"/>
    <w:rsid w:val="000D2D0B"/>
    <w:rPr>
      <w:rFonts w:ascii="Georgia" w:hAnsi="Georgia"/>
      <w:b/>
      <w:color w:val="000000"/>
      <w:szCs w:val="24"/>
      <w:lang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rPr>
  </w:style>
  <w:style w:type="character" w:customStyle="1" w:styleId="aStyle1Char">
    <w:name w:val="a. Style1 Char"/>
    <w:link w:val="aStyle1"/>
    <w:rsid w:val="000D2D0B"/>
    <w:rPr>
      <w:rFonts w:ascii="Georgia" w:hAnsi="Georgia"/>
    </w:rPr>
  </w:style>
  <w:style w:type="paragraph" w:styleId="Titre">
    <w:name w:val="Title"/>
    <w:basedOn w:val="Normal"/>
    <w:next w:val="Normal"/>
    <w:link w:val="TitreC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eple">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 w:type="character" w:customStyle="1" w:styleId="1AMAFICar">
    <w:name w:val="1 AMAFI Car"/>
    <w:basedOn w:val="Policepardfaut"/>
    <w:link w:val="1AMAFI"/>
    <w:locked/>
    <w:rsid w:val="00016337"/>
    <w:rPr>
      <w:rFonts w:ascii="Arial" w:hAnsi="Arial" w:cs="Arial"/>
    </w:rPr>
  </w:style>
  <w:style w:type="paragraph" w:customStyle="1" w:styleId="1AMAFI">
    <w:name w:val="1 AMAFI"/>
    <w:basedOn w:val="Normal"/>
    <w:link w:val="1AMAFICar"/>
    <w:rsid w:val="00016337"/>
    <w:pPr>
      <w:numPr>
        <w:numId w:val="37"/>
      </w:numPr>
      <w:spacing w:line="240" w:lineRule="atLeast"/>
      <w:jc w:val="both"/>
    </w:pPr>
    <w:rPr>
      <w:rFonts w:ascii="Arial" w:hAnsi="Arial" w:cs="Arial"/>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semiHidden="1" w:unhideWhenUsed="1" w:qFormat="1"/>
    <w:lsdException w:name="footnote reference" w:uiPriority="99"/>
    <w:lsdException w:name="line number" w:uiPriority="99"/>
    <w:lsdException w:name="Title" w:uiPriority="10"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36F4"/>
    <w:rPr>
      <w:rFonts w:ascii="Georgia" w:hAnsi="Georgia"/>
      <w:szCs w:val="24"/>
      <w:lang w:eastAsia="de-DE"/>
    </w:rPr>
  </w:style>
  <w:style w:type="paragraph" w:styleId="Heading1">
    <w:name w:val="heading 1"/>
    <w:basedOn w:val="Normal"/>
    <w:next w:val="Normal"/>
    <w:link w:val="Heading1Char"/>
    <w:qFormat/>
    <w:rsid w:val="009E7724"/>
    <w:pPr>
      <w:keepNext/>
      <w:numPr>
        <w:numId w:val="6"/>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510C18"/>
    <w:pPr>
      <w:numPr>
        <w:numId w:val="34"/>
      </w:numPr>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uiPriority w:val="99"/>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7"/>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val="en-GB"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9"/>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lang w:val="en-GB" w:eastAsia="en-GB"/>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val="en-GB" w:eastAsia="de-DE"/>
    </w:rPr>
  </w:style>
  <w:style w:type="character" w:customStyle="1" w:styleId="Heading8Char">
    <w:name w:val="Heading 8 Char"/>
    <w:link w:val="Heading8"/>
    <w:rsid w:val="002D6E1A"/>
    <w:rPr>
      <w:i/>
      <w:iCs/>
      <w:szCs w:val="24"/>
      <w:lang w:val="en-GB"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10"/>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1"/>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2"/>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3"/>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510C18"/>
    <w:rPr>
      <w:rFonts w:ascii="Georgia" w:hAnsi="Georgia"/>
      <w:b/>
      <w:szCs w:val="24"/>
      <w:lang w:val="en-GB"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ascii="Arial" w:hAnsi="Arial"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val="en-GB" w:eastAsia="de-DE"/>
    </w:rPr>
  </w:style>
  <w:style w:type="character" w:customStyle="1" w:styleId="NEW-Paragraph-level3Char">
    <w:name w:val="NEW-Paragraph-level3 Char"/>
    <w:link w:val="NEW-Paragraph-level3"/>
    <w:rsid w:val="00F90EF4"/>
    <w:rPr>
      <w:rFonts w:ascii="Georgia" w:hAnsi="Georgia"/>
      <w:lang w:val="en-GB"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val="en-GB" w:eastAsia="de-DE"/>
    </w:rPr>
  </w:style>
  <w:style w:type="character" w:customStyle="1" w:styleId="aNEW-Level1Char">
    <w:name w:val="aNEW-Level1 Char"/>
    <w:link w:val="aNEW-Level1"/>
    <w:rsid w:val="000636A1"/>
    <w:rPr>
      <w:rFonts w:ascii="Georgia" w:hAnsi="Georgia" w:cs="Arial"/>
      <w:b/>
      <w:bCs/>
      <w:kern w:val="32"/>
      <w:sz w:val="24"/>
      <w:szCs w:val="32"/>
      <w:lang w:val="en-GB"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8"/>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val="en-GB"/>
    </w:rPr>
  </w:style>
  <w:style w:type="character" w:customStyle="1" w:styleId="aNEW-ParagraphChar">
    <w:name w:val="aNEW-Paragraph Char"/>
    <w:link w:val="aNEW-Paragraph"/>
    <w:rsid w:val="001244CD"/>
    <w:rPr>
      <w:rFonts w:ascii="Georgia" w:eastAsia="Calibri" w:hAnsi="Georgia"/>
      <w:lang w:val="en-GB"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val="en-GB" w:eastAsia="de-DE"/>
    </w:rPr>
  </w:style>
  <w:style w:type="character" w:customStyle="1" w:styleId="aNEW-Paragraph-level3Char">
    <w:name w:val="aNEW-Paragraph-level3 Char"/>
    <w:link w:val="aNEW-Paragraph-level3"/>
    <w:rsid w:val="00566D36"/>
    <w:rPr>
      <w:rFonts w:ascii="Georgia" w:hAnsi="Georgia"/>
      <w:lang w:val="en-GB"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character" w:customStyle="1" w:styleId="QuestionChar">
    <w:name w:val="Question Char"/>
    <w:locked/>
    <w:rsid w:val="0088604A"/>
    <w:rPr>
      <w:rFonts w:ascii="Georgia" w:eastAsia="Calibri" w:hAnsi="Georgia"/>
      <w:b/>
      <w:szCs w:val="24"/>
    </w:rPr>
  </w:style>
</w:styles>
</file>

<file path=word/webSettings.xml><?xml version="1.0" encoding="utf-8"?>
<w:webSettings xmlns:r="http://schemas.openxmlformats.org/officeDocument/2006/relationships" xmlns:w="http://schemas.openxmlformats.org/wordprocessingml/2006/main">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9987554">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4038857">
      <w:bodyDiv w:val="1"/>
      <w:marLeft w:val="0"/>
      <w:marRight w:val="0"/>
      <w:marTop w:val="0"/>
      <w:marBottom w:val="0"/>
      <w:divBdr>
        <w:top w:val="none" w:sz="0" w:space="0" w:color="auto"/>
        <w:left w:val="none" w:sz="0" w:space="0" w:color="auto"/>
        <w:bottom w:val="none" w:sz="0" w:space="0" w:color="auto"/>
        <w:right w:val="none" w:sz="0" w:space="0" w:color="auto"/>
      </w:divBdr>
    </w:div>
    <w:div w:id="376857839">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475756679">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6060847">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5095643">
      <w:bodyDiv w:val="1"/>
      <w:marLeft w:val="0"/>
      <w:marRight w:val="0"/>
      <w:marTop w:val="0"/>
      <w:marBottom w:val="0"/>
      <w:divBdr>
        <w:top w:val="none" w:sz="0" w:space="0" w:color="auto"/>
        <w:left w:val="none" w:sz="0" w:space="0" w:color="auto"/>
        <w:bottom w:val="none" w:sz="0" w:space="0" w:color="auto"/>
        <w:right w:val="none" w:sz="0" w:space="0" w:color="auto"/>
      </w:divBdr>
    </w:div>
    <w:div w:id="19706211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ma.europa.eu"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B73C2B6D27B46D9B117EDC939FB0C8D"/>
        <w:category>
          <w:name w:val="General"/>
          <w:gallery w:val="placeholder"/>
        </w:category>
        <w:types>
          <w:type w:val="bbPlcHdr"/>
        </w:types>
        <w:behaviors>
          <w:behavior w:val="content"/>
        </w:behaviors>
        <w:guid w:val="{D6733732-3628-4793-8625-9C4E4D75D7E9}"/>
      </w:docPartPr>
      <w:docPartBody>
        <w:p w:rsidR="008D3C96" w:rsidRDefault="00774BE9" w:rsidP="00774BE9">
          <w:pPr>
            <w:pStyle w:val="3B73C2B6D27B46D9B117EDC939FB0C8D"/>
          </w:pPr>
          <w:r w:rsidRPr="000E3791">
            <w:rPr>
              <w:rStyle w:val="Textedelespacerserv"/>
            </w:rPr>
            <w:t>Choose an item.</w:t>
          </w:r>
        </w:p>
      </w:docPartBody>
    </w:docPart>
    <w:docPart>
      <w:docPartPr>
        <w:name w:val="5D7A0B6D2E2348BAA8507A46929D13BC"/>
        <w:category>
          <w:name w:val="General"/>
          <w:gallery w:val="placeholder"/>
        </w:category>
        <w:types>
          <w:type w:val="bbPlcHdr"/>
        </w:types>
        <w:behaviors>
          <w:behavior w:val="content"/>
        </w:behaviors>
        <w:guid w:val="{21DFE96D-C1DF-4338-9875-E113C0288FDC}"/>
      </w:docPartPr>
      <w:docPartBody>
        <w:p w:rsidR="008D3C96" w:rsidRDefault="00774BE9" w:rsidP="00774BE9">
          <w:pPr>
            <w:pStyle w:val="5D7A0B6D2E2348BAA8507A46929D13BC"/>
          </w:pPr>
          <w:r w:rsidRPr="000E3791">
            <w:rPr>
              <w:rStyle w:val="Textedelespacerserv"/>
            </w:rPr>
            <w:t>Choose an item.</w:t>
          </w:r>
        </w:p>
      </w:docPartBody>
    </w:docPart>
    <w:docPart>
      <w:docPartPr>
        <w:name w:val="2601290A809E4F0FA43C90989CB57F49"/>
        <w:category>
          <w:name w:val="General"/>
          <w:gallery w:val="placeholder"/>
        </w:category>
        <w:types>
          <w:type w:val="bbPlcHdr"/>
        </w:types>
        <w:behaviors>
          <w:behavior w:val="content"/>
        </w:behaviors>
        <w:guid w:val="{83FFF809-3AD9-4C6B-B50C-48B03FFC8581}"/>
      </w:docPartPr>
      <w:docPartBody>
        <w:p w:rsidR="008D3C96" w:rsidRDefault="00774BE9" w:rsidP="00774BE9">
          <w:pPr>
            <w:pStyle w:val="2601290A809E4F0FA43C90989CB57F49"/>
          </w:pPr>
          <w:r w:rsidRPr="000E3791">
            <w:rPr>
              <w:rStyle w:val="Textedelespacerserv"/>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00000003" w:usb1="00000000" w:usb2="00000000" w:usb3="00000000" w:csb0="00000001" w:csb1="00000000"/>
  </w:font>
  <w:font w:name="Myriad Pro Light">
    <w:altName w:val="Corbel"/>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sDel="0" w:formatting="0" w:inkAnnotations="0"/>
  <w:defaultTabStop w:val="720"/>
  <w:hyphenationZone w:val="425"/>
  <w:characterSpacingControl w:val="doNotCompress"/>
  <w:compat>
    <w:useFELayout/>
  </w:compat>
  <w:rsids>
    <w:rsidRoot w:val="00774BE9"/>
    <w:rsid w:val="001E6D5A"/>
    <w:rsid w:val="0021583E"/>
    <w:rsid w:val="0075793D"/>
    <w:rsid w:val="00774BE9"/>
    <w:rsid w:val="007A1CCF"/>
    <w:rsid w:val="008D3C96"/>
    <w:rsid w:val="00DD01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74BE9"/>
    <w:rPr>
      <w:color w:val="808080"/>
    </w:rPr>
  </w:style>
  <w:style w:type="paragraph" w:customStyle="1" w:styleId="3D6FDE3CE0CD4AF7BCC4312E2A614EF2">
    <w:name w:val="3D6FDE3CE0CD4AF7BCC4312E2A614EF2"/>
    <w:rsid w:val="00774BE9"/>
  </w:style>
  <w:style w:type="paragraph" w:customStyle="1" w:styleId="ADFC737229784021A17F6083FCF378DD">
    <w:name w:val="ADFC737229784021A17F6083FCF378DD"/>
    <w:rsid w:val="00774BE9"/>
  </w:style>
  <w:style w:type="paragraph" w:customStyle="1" w:styleId="0F47F5DFF1704F7CA3555C12CEBFEEAC">
    <w:name w:val="0F47F5DFF1704F7CA3555C12CEBFEEAC"/>
    <w:rsid w:val="00774BE9"/>
  </w:style>
  <w:style w:type="paragraph" w:customStyle="1" w:styleId="3B73C2B6D27B46D9B117EDC939FB0C8D">
    <w:name w:val="3B73C2B6D27B46D9B117EDC939FB0C8D"/>
    <w:rsid w:val="00774BE9"/>
  </w:style>
  <w:style w:type="paragraph" w:customStyle="1" w:styleId="5D7A0B6D2E2348BAA8507A46929D13BC">
    <w:name w:val="5D7A0B6D2E2348BAA8507A46929D13BC"/>
    <w:rsid w:val="00774BE9"/>
  </w:style>
  <w:style w:type="paragraph" w:customStyle="1" w:styleId="2601290A809E4F0FA43C90989CB57F49">
    <w:name w:val="2601290A809E4F0FA43C90989CB57F49"/>
    <w:rsid w:val="00774BE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C232-B5C9-4404-A6B4-35138D3402A3}">
  <ds:schemaRefs>
    <ds:schemaRef ds:uri="http://schemas.openxmlformats.org/officeDocument/2006/bibliography"/>
  </ds:schemaRefs>
</ds:datastoreItem>
</file>

<file path=customXml/itemProps2.xml><?xml version="1.0" encoding="utf-8"?>
<ds:datastoreItem xmlns:ds="http://schemas.openxmlformats.org/officeDocument/2006/customXml" ds:itemID="{81472240-8052-4848-8480-2DE5F342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2511</Words>
  <Characters>14032</Characters>
  <Application>Microsoft Office Word</Application>
  <DocSecurity>8</DocSecurity>
  <Lines>116</Lines>
  <Paragraphs>33</Paragraphs>
  <ScaleCrop>false</ScaleCrop>
  <HeadingPairs>
    <vt:vector size="10"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16510</CharactersWithSpaces>
  <SharedDoc>false</SharedDoc>
  <HLinks>
    <vt:vector size="18" baseType="variant">
      <vt:variant>
        <vt:i4>3932286</vt:i4>
      </vt:variant>
      <vt:variant>
        <vt:i4>6</vt:i4>
      </vt:variant>
      <vt:variant>
        <vt:i4>0</vt:i4>
      </vt:variant>
      <vt:variant>
        <vt:i4>5</vt:i4>
      </vt:variant>
      <vt:variant>
        <vt:lpwstr>http://www.esma.europa.eu/</vt:lpwstr>
      </vt:variant>
      <vt:variant>
        <vt:lpwstr/>
      </vt:variant>
      <vt:variant>
        <vt:i4>3932286</vt:i4>
      </vt:variant>
      <vt:variant>
        <vt:i4>3</vt:i4>
      </vt:variant>
      <vt:variant>
        <vt:i4>0</vt:i4>
      </vt:variant>
      <vt:variant>
        <vt:i4>5</vt:i4>
      </vt:variant>
      <vt:variant>
        <vt:lpwstr>http://www.esma.europa.eu/</vt:lpwstr>
      </vt:variant>
      <vt:variant>
        <vt:lpwstr/>
      </vt:variant>
      <vt:variant>
        <vt:i4>7929981</vt:i4>
      </vt:variant>
      <vt:variant>
        <vt:i4>0</vt:i4>
      </vt:variant>
      <vt:variant>
        <vt:i4>0</vt:i4>
      </vt:variant>
      <vt:variant>
        <vt:i4>5</vt:i4>
      </vt:variant>
      <vt:variant>
        <vt:lpwstr>http://www.esma.europa.eu/consultation/Consultation-implementing-measures-Regulations-EuSEF-and-EuVECA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VM</cp:lastModifiedBy>
  <cp:revision>2</cp:revision>
  <cp:lastPrinted>2014-05-08T15:06:00Z</cp:lastPrinted>
  <dcterms:created xsi:type="dcterms:W3CDTF">2014-11-06T13:43:00Z</dcterms:created>
  <dcterms:modified xsi:type="dcterms:W3CDTF">2014-11-06T13:43:00Z</dcterms:modified>
</cp:coreProperties>
</file>