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F0" w:rsidRDefault="001D2D86" w:rsidP="005E76F8">
      <w:pPr>
        <w:rPr>
          <w:noProof/>
          <w:lang w:val="en-US" w:eastAsia="en-US"/>
        </w:rPr>
      </w:pPr>
      <w:r>
        <w:rPr>
          <w:noProof/>
          <w:lang w:val="fr-LU" w:eastAsia="fr-LU"/>
        </w:rPr>
        <w:drawing>
          <wp:inline distT="0" distB="0" distL="0" distR="0">
            <wp:extent cx="4514850" cy="790575"/>
            <wp:effectExtent l="0" t="0" r="0" b="9525"/>
            <wp:docPr id="1" name="Picture 1" descr="Description: ALFILet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LFILett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790575"/>
                    </a:xfrm>
                    <a:prstGeom prst="rect">
                      <a:avLst/>
                    </a:prstGeom>
                    <a:noFill/>
                    <a:ln>
                      <a:noFill/>
                    </a:ln>
                  </pic:spPr>
                </pic:pic>
              </a:graphicData>
            </a:graphic>
          </wp:inline>
        </w:drawing>
      </w:r>
    </w:p>
    <w:p w:rsidR="005424F0" w:rsidRDefault="005424F0">
      <w:pPr>
        <w:jc w:val="center"/>
        <w:rPr>
          <w:noProof/>
          <w:lang w:val="en-US" w:eastAsia="en-US"/>
        </w:rPr>
      </w:pPr>
    </w:p>
    <w:p w:rsidR="005424F0" w:rsidRDefault="005424F0">
      <w:pPr>
        <w:jc w:val="center"/>
        <w:rPr>
          <w:noProof/>
          <w:lang w:val="en-US" w:eastAsia="en-US"/>
        </w:rPr>
      </w:pPr>
    </w:p>
    <w:p w:rsidR="0042199F" w:rsidRDefault="0042199F">
      <w:pPr>
        <w:jc w:val="center"/>
        <w:rPr>
          <w:noProof/>
          <w:lang w:val="en-US" w:eastAsia="en-US"/>
        </w:rPr>
      </w:pPr>
    </w:p>
    <w:p w:rsidR="00C600AF" w:rsidRPr="00FF5870" w:rsidRDefault="00D8086F" w:rsidP="00D8086F">
      <w:pPr>
        <w:jc w:val="center"/>
        <w:rPr>
          <w:rFonts w:ascii="Verdana" w:hAnsi="Verdana"/>
          <w:b/>
          <w:smallCaps/>
          <w:sz w:val="20"/>
          <w:szCs w:val="20"/>
        </w:rPr>
      </w:pPr>
      <w:r w:rsidRPr="00FF5870">
        <w:rPr>
          <w:rFonts w:ascii="Verdana" w:hAnsi="Verdana"/>
          <w:b/>
          <w:sz w:val="20"/>
          <w:szCs w:val="20"/>
        </w:rPr>
        <w:t xml:space="preserve">ALFI comments and responses to the Joint Committee Consultation Paper on draft guidelines for complaints-handling for the securities (ESMA) and banking (EBA) sectors </w:t>
      </w:r>
      <w:r w:rsidR="00D67EDF" w:rsidRPr="00FF5870">
        <w:rPr>
          <w:rFonts w:ascii="Verdana" w:hAnsi="Verdana"/>
          <w:b/>
          <w:smallCaps/>
          <w:sz w:val="20"/>
          <w:szCs w:val="20"/>
        </w:rPr>
        <w:t xml:space="preserve"> </w:t>
      </w:r>
    </w:p>
    <w:p w:rsidR="00C600AF" w:rsidRDefault="00C600AF">
      <w:pPr>
        <w:rPr>
          <w:rFonts w:ascii="Verdana" w:hAnsi="Verdana"/>
          <w:b/>
          <w:sz w:val="20"/>
          <w:szCs w:val="20"/>
        </w:rPr>
      </w:pPr>
    </w:p>
    <w:p w:rsidR="007334CC" w:rsidRPr="007334CC" w:rsidRDefault="007334CC" w:rsidP="007334CC">
      <w:pPr>
        <w:jc w:val="center"/>
        <w:rPr>
          <w:rFonts w:ascii="Verdana" w:hAnsi="Verdana"/>
          <w:b/>
          <w:sz w:val="18"/>
          <w:szCs w:val="18"/>
        </w:rPr>
      </w:pPr>
      <w:r w:rsidRPr="007334CC">
        <w:rPr>
          <w:rFonts w:ascii="Verdana" w:hAnsi="Verdana"/>
          <w:b/>
          <w:sz w:val="18"/>
          <w:szCs w:val="18"/>
        </w:rPr>
        <w:t>7 February 2014</w:t>
      </w:r>
    </w:p>
    <w:p w:rsidR="007334CC" w:rsidRPr="00FF5870" w:rsidRDefault="007334CC">
      <w:pPr>
        <w:jc w:val="both"/>
        <w:rPr>
          <w:rFonts w:ascii="Verdana" w:hAnsi="Verdana"/>
          <w:sz w:val="20"/>
          <w:szCs w:val="20"/>
        </w:rPr>
      </w:pPr>
      <w:bookmarkStart w:id="0" w:name="_GoBack"/>
      <w:bookmarkEnd w:id="0"/>
    </w:p>
    <w:p w:rsidR="00C600AF" w:rsidRPr="00FF5870" w:rsidRDefault="00C600AF" w:rsidP="005C3738">
      <w:pPr>
        <w:spacing w:after="120"/>
        <w:jc w:val="both"/>
        <w:rPr>
          <w:rFonts w:ascii="Verdana" w:hAnsi="Verdana"/>
          <w:sz w:val="20"/>
          <w:szCs w:val="20"/>
        </w:rPr>
      </w:pPr>
      <w:r w:rsidRPr="00FF5870">
        <w:rPr>
          <w:rFonts w:ascii="Verdana" w:hAnsi="Verdana"/>
          <w:sz w:val="20"/>
          <w:szCs w:val="20"/>
        </w:rPr>
        <w:t>ALFI is the representative body of the 2.</w:t>
      </w:r>
      <w:r w:rsidR="00CF4B90" w:rsidRPr="00FF5870">
        <w:rPr>
          <w:rFonts w:ascii="Verdana" w:hAnsi="Verdana"/>
          <w:sz w:val="20"/>
          <w:szCs w:val="20"/>
        </w:rPr>
        <w:t>6</w:t>
      </w:r>
      <w:r w:rsidRPr="00FF5870">
        <w:rPr>
          <w:rFonts w:ascii="Verdana" w:hAnsi="Verdana"/>
          <w:sz w:val="20"/>
          <w:szCs w:val="20"/>
        </w:rPr>
        <w:t xml:space="preserve"> trillion Euro Luxembourg fund industry. It counts among its members not only investment funds but also a large variety of service providers of the financial sector. There are 3,</w:t>
      </w:r>
      <w:r w:rsidR="00982A87" w:rsidRPr="00FF5870">
        <w:rPr>
          <w:rFonts w:ascii="Verdana" w:hAnsi="Verdana"/>
          <w:sz w:val="20"/>
          <w:szCs w:val="20"/>
        </w:rPr>
        <w:t>8</w:t>
      </w:r>
      <w:r w:rsidR="00CF4B90" w:rsidRPr="00FF5870">
        <w:rPr>
          <w:rFonts w:ascii="Verdana" w:hAnsi="Verdana"/>
          <w:sz w:val="20"/>
          <w:szCs w:val="20"/>
        </w:rPr>
        <w:t>90</w:t>
      </w:r>
      <w:r w:rsidRPr="00FF5870">
        <w:rPr>
          <w:rFonts w:ascii="Verdana" w:hAnsi="Verdana"/>
          <w:sz w:val="20"/>
          <w:szCs w:val="20"/>
        </w:rPr>
        <w:t xml:space="preserve"> undertakings for collective investment in Luxembourg, of which 2,</w:t>
      </w:r>
      <w:r w:rsidR="00CF4B90" w:rsidRPr="00FF5870">
        <w:rPr>
          <w:rFonts w:ascii="Verdana" w:hAnsi="Verdana"/>
          <w:sz w:val="20"/>
          <w:szCs w:val="20"/>
        </w:rPr>
        <w:t>516</w:t>
      </w:r>
      <w:r w:rsidRPr="00FF5870">
        <w:rPr>
          <w:rFonts w:ascii="Verdana" w:hAnsi="Verdana"/>
          <w:sz w:val="20"/>
          <w:szCs w:val="20"/>
        </w:rPr>
        <w:t xml:space="preserve"> are multiple compartment structures containing 1</w:t>
      </w:r>
      <w:r w:rsidR="00CF4B90" w:rsidRPr="00FF5870">
        <w:rPr>
          <w:rFonts w:ascii="Verdana" w:hAnsi="Verdana"/>
          <w:sz w:val="20"/>
          <w:szCs w:val="20"/>
        </w:rPr>
        <w:t>2</w:t>
      </w:r>
      <w:r w:rsidRPr="00FF5870">
        <w:rPr>
          <w:rFonts w:ascii="Verdana" w:hAnsi="Verdana"/>
          <w:sz w:val="20"/>
          <w:szCs w:val="20"/>
        </w:rPr>
        <w:t>,</w:t>
      </w:r>
      <w:r w:rsidR="00CF4B90" w:rsidRPr="00FF5870">
        <w:rPr>
          <w:rFonts w:ascii="Verdana" w:hAnsi="Verdana"/>
          <w:sz w:val="20"/>
          <w:szCs w:val="20"/>
        </w:rPr>
        <w:t>292</w:t>
      </w:r>
      <w:r w:rsidRPr="00FF5870">
        <w:rPr>
          <w:rFonts w:ascii="Verdana" w:hAnsi="Verdana"/>
          <w:sz w:val="20"/>
          <w:szCs w:val="20"/>
        </w:rPr>
        <w:t xml:space="preserve"> compartments. With the 1,</w:t>
      </w:r>
      <w:r w:rsidR="00CF4B90" w:rsidRPr="00FF5870">
        <w:rPr>
          <w:rFonts w:ascii="Verdana" w:hAnsi="Verdana"/>
          <w:sz w:val="20"/>
          <w:szCs w:val="20"/>
        </w:rPr>
        <w:t>374</w:t>
      </w:r>
      <w:r w:rsidRPr="00FF5870">
        <w:rPr>
          <w:rFonts w:ascii="Verdana" w:hAnsi="Verdana"/>
          <w:sz w:val="20"/>
          <w:szCs w:val="20"/>
        </w:rPr>
        <w:t xml:space="preserve"> single-compartment UCIs, there are a total of 1</w:t>
      </w:r>
      <w:r w:rsidR="00982A87" w:rsidRPr="00FF5870">
        <w:rPr>
          <w:rFonts w:ascii="Verdana" w:hAnsi="Verdana"/>
          <w:sz w:val="20"/>
          <w:szCs w:val="20"/>
        </w:rPr>
        <w:t>3</w:t>
      </w:r>
      <w:r w:rsidRPr="00FF5870">
        <w:rPr>
          <w:rFonts w:ascii="Verdana" w:hAnsi="Verdana"/>
          <w:sz w:val="20"/>
          <w:szCs w:val="20"/>
        </w:rPr>
        <w:t>,</w:t>
      </w:r>
      <w:r w:rsidR="00CF4B90" w:rsidRPr="00FF5870">
        <w:rPr>
          <w:rFonts w:ascii="Verdana" w:hAnsi="Verdana"/>
          <w:sz w:val="20"/>
          <w:szCs w:val="20"/>
        </w:rPr>
        <w:t>666</w:t>
      </w:r>
      <w:r w:rsidRPr="00FF5870">
        <w:rPr>
          <w:rFonts w:ascii="Verdana" w:hAnsi="Verdana"/>
          <w:sz w:val="20"/>
          <w:szCs w:val="20"/>
        </w:rPr>
        <w:t xml:space="preserve"> active compartments or sub-funds based in Luxembourg.</w:t>
      </w:r>
    </w:p>
    <w:p w:rsidR="00C600AF" w:rsidRPr="00FF5870" w:rsidRDefault="001714DF" w:rsidP="005C3738">
      <w:pPr>
        <w:spacing w:after="120"/>
        <w:jc w:val="both"/>
        <w:rPr>
          <w:rFonts w:ascii="Verdana" w:hAnsi="Verdana"/>
          <w:sz w:val="20"/>
          <w:szCs w:val="20"/>
        </w:rPr>
      </w:pPr>
      <w:r w:rsidRPr="00FF5870">
        <w:rPr>
          <w:rFonts w:ascii="Verdana" w:hAnsi="Verdana"/>
          <w:sz w:val="20"/>
          <w:szCs w:val="20"/>
        </w:rPr>
        <w:t>68</w:t>
      </w:r>
      <w:r w:rsidR="00C600AF" w:rsidRPr="00FF5870">
        <w:rPr>
          <w:rFonts w:ascii="Verdana" w:hAnsi="Verdana"/>
          <w:sz w:val="20"/>
          <w:szCs w:val="20"/>
        </w:rPr>
        <w:t xml:space="preserve">% of UCITS that are engaged in cross-border business are domiciled in Luxembourg. As one of the main gateways to the European Union and global markets, Luxembourg is the largest cross-border fund centre in the European Union and, indeed, in the world. </w:t>
      </w:r>
    </w:p>
    <w:p w:rsidR="00C600AF" w:rsidRPr="00FF5870" w:rsidRDefault="00C600AF" w:rsidP="005C3738">
      <w:pPr>
        <w:pStyle w:val="Heading1"/>
        <w:rPr>
          <w:rFonts w:ascii="Verdana" w:hAnsi="Verdana"/>
          <w:b w:val="0"/>
          <w:color w:val="auto"/>
          <w:sz w:val="20"/>
          <w:szCs w:val="20"/>
          <w:u w:val="none"/>
        </w:rPr>
      </w:pPr>
    </w:p>
    <w:p w:rsidR="00C600AF" w:rsidRPr="00FF5870" w:rsidRDefault="00C600AF" w:rsidP="005C3738">
      <w:pPr>
        <w:pStyle w:val="BodyText"/>
        <w:rPr>
          <w:rFonts w:ascii="Verdana" w:hAnsi="Verdana"/>
          <w:i w:val="0"/>
          <w:iCs w:val="0"/>
          <w:sz w:val="20"/>
          <w:szCs w:val="20"/>
        </w:rPr>
      </w:pPr>
      <w:r w:rsidRPr="00FF5870">
        <w:rPr>
          <w:rFonts w:ascii="Verdana" w:hAnsi="Verdana"/>
          <w:i w:val="0"/>
          <w:sz w:val="20"/>
          <w:szCs w:val="20"/>
        </w:rPr>
        <w:t xml:space="preserve">ALFI welcomes </w:t>
      </w:r>
      <w:r w:rsidR="00E55A41" w:rsidRPr="00FF5870">
        <w:rPr>
          <w:rFonts w:ascii="Verdana" w:hAnsi="Verdana"/>
          <w:i w:val="0"/>
          <w:sz w:val="20"/>
          <w:szCs w:val="20"/>
        </w:rPr>
        <w:t>the Joint Committee’s</w:t>
      </w:r>
      <w:r w:rsidR="00D67EDF" w:rsidRPr="00FF5870">
        <w:rPr>
          <w:rFonts w:ascii="Verdana" w:hAnsi="Verdana"/>
          <w:i w:val="0"/>
          <w:sz w:val="20"/>
          <w:szCs w:val="20"/>
        </w:rPr>
        <w:t xml:space="preserve"> </w:t>
      </w:r>
      <w:r w:rsidRPr="00FF5870">
        <w:rPr>
          <w:rFonts w:ascii="Verdana" w:hAnsi="Verdana"/>
          <w:i w:val="0"/>
          <w:sz w:val="20"/>
          <w:szCs w:val="20"/>
        </w:rPr>
        <w:t xml:space="preserve">initiative to consult the public and the financial industry on </w:t>
      </w:r>
      <w:r w:rsidR="00E55A41" w:rsidRPr="00FF5870">
        <w:rPr>
          <w:rFonts w:ascii="Verdana" w:hAnsi="Verdana"/>
          <w:i w:val="0"/>
          <w:sz w:val="20"/>
          <w:szCs w:val="20"/>
        </w:rPr>
        <w:t>complaints handling guidelines for the securities and banking sectors.</w:t>
      </w:r>
      <w:r w:rsidRPr="00FF5870">
        <w:rPr>
          <w:rFonts w:ascii="Verdana" w:hAnsi="Verdana"/>
          <w:sz w:val="20"/>
          <w:szCs w:val="20"/>
        </w:rPr>
        <w:t xml:space="preserve"> </w:t>
      </w:r>
      <w:r w:rsidRPr="00FF5870">
        <w:rPr>
          <w:rFonts w:ascii="Verdana" w:hAnsi="Verdana"/>
          <w:i w:val="0"/>
          <w:iCs w:val="0"/>
          <w:sz w:val="20"/>
          <w:szCs w:val="20"/>
        </w:rPr>
        <w:t xml:space="preserve">As a general comment, </w:t>
      </w:r>
      <w:r w:rsidR="00B96FC2" w:rsidRPr="00FF5870">
        <w:rPr>
          <w:rFonts w:ascii="Verdana" w:hAnsi="Verdana"/>
          <w:i w:val="0"/>
          <w:iCs w:val="0"/>
          <w:sz w:val="20"/>
          <w:szCs w:val="20"/>
        </w:rPr>
        <w:t xml:space="preserve">ALFI </w:t>
      </w:r>
      <w:r w:rsidR="00B80291">
        <w:rPr>
          <w:rFonts w:ascii="Verdana" w:hAnsi="Verdana"/>
          <w:i w:val="0"/>
          <w:iCs w:val="0"/>
          <w:sz w:val="20"/>
          <w:szCs w:val="20"/>
        </w:rPr>
        <w:t xml:space="preserve">supports a more uniform complaint-handling framework and </w:t>
      </w:r>
      <w:r w:rsidR="00007943" w:rsidRPr="00FF5870">
        <w:rPr>
          <w:rFonts w:ascii="Verdana" w:hAnsi="Verdana"/>
          <w:i w:val="0"/>
          <w:iCs w:val="0"/>
          <w:sz w:val="20"/>
          <w:szCs w:val="20"/>
        </w:rPr>
        <w:t>is</w:t>
      </w:r>
      <w:r w:rsidR="00B96FC2" w:rsidRPr="00FF5870">
        <w:rPr>
          <w:rFonts w:ascii="Verdana" w:hAnsi="Verdana"/>
          <w:i w:val="0"/>
          <w:iCs w:val="0"/>
          <w:sz w:val="20"/>
          <w:szCs w:val="20"/>
        </w:rPr>
        <w:t xml:space="preserve"> confident that the proposed guidelines will foster greater convergence between the supervisory approaches among the various Member States</w:t>
      </w:r>
      <w:r w:rsidR="00007943" w:rsidRPr="00FF5870">
        <w:rPr>
          <w:rFonts w:ascii="Verdana" w:hAnsi="Verdana"/>
          <w:i w:val="0"/>
          <w:iCs w:val="0"/>
          <w:sz w:val="20"/>
          <w:szCs w:val="20"/>
        </w:rPr>
        <w:t xml:space="preserve"> in this area</w:t>
      </w:r>
      <w:r w:rsidR="00B96FC2" w:rsidRPr="00FF5870">
        <w:rPr>
          <w:rFonts w:ascii="Verdana" w:hAnsi="Verdana"/>
          <w:i w:val="0"/>
          <w:iCs w:val="0"/>
          <w:sz w:val="20"/>
          <w:szCs w:val="20"/>
        </w:rPr>
        <w:t>.</w:t>
      </w:r>
      <w:r w:rsidR="00007943" w:rsidRPr="00FF5870">
        <w:rPr>
          <w:rFonts w:ascii="Verdana" w:hAnsi="Verdana"/>
          <w:i w:val="0"/>
          <w:iCs w:val="0"/>
          <w:sz w:val="20"/>
          <w:szCs w:val="20"/>
        </w:rPr>
        <w:t xml:space="preserve"> </w:t>
      </w:r>
      <w:r w:rsidR="00B96FC2" w:rsidRPr="00FF5870">
        <w:rPr>
          <w:rFonts w:ascii="Verdana" w:hAnsi="Verdana"/>
          <w:i w:val="0"/>
          <w:iCs w:val="0"/>
          <w:sz w:val="20"/>
          <w:szCs w:val="20"/>
        </w:rPr>
        <w:t>W</w:t>
      </w:r>
      <w:r w:rsidR="00E8234A" w:rsidRPr="00FF5870">
        <w:rPr>
          <w:rFonts w:ascii="Verdana" w:hAnsi="Verdana"/>
          <w:i w:val="0"/>
          <w:iCs w:val="0"/>
          <w:sz w:val="20"/>
          <w:szCs w:val="20"/>
        </w:rPr>
        <w:t>e</w:t>
      </w:r>
      <w:r w:rsidR="00B96FC2" w:rsidRPr="00FF5870">
        <w:rPr>
          <w:rFonts w:ascii="Verdana" w:hAnsi="Verdana"/>
          <w:i w:val="0"/>
          <w:iCs w:val="0"/>
          <w:sz w:val="20"/>
          <w:szCs w:val="20"/>
        </w:rPr>
        <w:t xml:space="preserve"> are of the opinion that </w:t>
      </w:r>
      <w:r w:rsidR="00E8234A" w:rsidRPr="00FF5870">
        <w:rPr>
          <w:rFonts w:ascii="Verdana" w:hAnsi="Verdana"/>
          <w:i w:val="0"/>
          <w:iCs w:val="0"/>
          <w:sz w:val="20"/>
          <w:szCs w:val="20"/>
        </w:rPr>
        <w:t>th</w:t>
      </w:r>
      <w:r w:rsidR="008C30E0" w:rsidRPr="00FF5870">
        <w:rPr>
          <w:rFonts w:ascii="Verdana" w:hAnsi="Verdana"/>
          <w:i w:val="0"/>
          <w:iCs w:val="0"/>
          <w:sz w:val="20"/>
          <w:szCs w:val="20"/>
        </w:rPr>
        <w:t>e</w:t>
      </w:r>
      <w:r w:rsidR="00E8234A" w:rsidRPr="00FF5870">
        <w:rPr>
          <w:rFonts w:ascii="Verdana" w:hAnsi="Verdana"/>
          <w:i w:val="0"/>
          <w:iCs w:val="0"/>
          <w:sz w:val="20"/>
          <w:szCs w:val="20"/>
        </w:rPr>
        <w:t xml:space="preserve"> current rules </w:t>
      </w:r>
      <w:r w:rsidR="001C4B5E" w:rsidRPr="00FF5870">
        <w:rPr>
          <w:rFonts w:ascii="Verdana" w:hAnsi="Verdana"/>
          <w:i w:val="0"/>
          <w:iCs w:val="0"/>
          <w:sz w:val="20"/>
          <w:szCs w:val="20"/>
        </w:rPr>
        <w:t>applicable to UCITS management companies</w:t>
      </w:r>
      <w:r w:rsidR="005E063B" w:rsidRPr="00FF5870">
        <w:rPr>
          <w:rFonts w:ascii="Verdana" w:hAnsi="Verdana"/>
          <w:i w:val="0"/>
          <w:iCs w:val="0"/>
          <w:sz w:val="20"/>
          <w:szCs w:val="20"/>
        </w:rPr>
        <w:t xml:space="preserve">, </w:t>
      </w:r>
      <w:r w:rsidR="001C4B5E" w:rsidRPr="00FF5870">
        <w:rPr>
          <w:rFonts w:ascii="Verdana" w:hAnsi="Verdana"/>
          <w:i w:val="0"/>
          <w:iCs w:val="0"/>
          <w:sz w:val="20"/>
          <w:szCs w:val="20"/>
        </w:rPr>
        <w:t>AIFM</w:t>
      </w:r>
      <w:r w:rsidR="005E063B" w:rsidRPr="00FF5870">
        <w:rPr>
          <w:rFonts w:ascii="Verdana" w:hAnsi="Verdana"/>
          <w:i w:val="0"/>
          <w:iCs w:val="0"/>
          <w:sz w:val="20"/>
          <w:szCs w:val="20"/>
        </w:rPr>
        <w:t>s and MiFID investment firms</w:t>
      </w:r>
      <w:r w:rsidR="001C4B5E" w:rsidRPr="00FF5870">
        <w:rPr>
          <w:rFonts w:ascii="Verdana" w:hAnsi="Verdana"/>
          <w:i w:val="0"/>
          <w:iCs w:val="0"/>
          <w:sz w:val="20"/>
          <w:szCs w:val="20"/>
        </w:rPr>
        <w:t xml:space="preserve"> as far as complaints handling is concerned already </w:t>
      </w:r>
      <w:r w:rsidR="009224FE">
        <w:rPr>
          <w:rFonts w:ascii="Verdana" w:hAnsi="Verdana"/>
          <w:i w:val="0"/>
          <w:iCs w:val="0"/>
          <w:sz w:val="20"/>
          <w:szCs w:val="20"/>
        </w:rPr>
        <w:t>contain a solid set of investor protection rules and r</w:t>
      </w:r>
      <w:r w:rsidR="0031144F" w:rsidRPr="00FF5870">
        <w:rPr>
          <w:rFonts w:ascii="Verdana" w:hAnsi="Verdana"/>
          <w:i w:val="0"/>
          <w:iCs w:val="0"/>
          <w:sz w:val="20"/>
          <w:szCs w:val="20"/>
        </w:rPr>
        <w:t>eflect the principles outlined in the</w:t>
      </w:r>
      <w:r w:rsidR="001E02D9" w:rsidRPr="00FF5870">
        <w:rPr>
          <w:rFonts w:ascii="Verdana" w:hAnsi="Verdana"/>
          <w:i w:val="0"/>
          <w:iCs w:val="0"/>
          <w:sz w:val="20"/>
          <w:szCs w:val="20"/>
        </w:rPr>
        <w:t>se</w:t>
      </w:r>
      <w:r w:rsidR="0031144F" w:rsidRPr="00FF5870">
        <w:rPr>
          <w:rFonts w:ascii="Verdana" w:hAnsi="Verdana"/>
          <w:i w:val="0"/>
          <w:iCs w:val="0"/>
          <w:sz w:val="20"/>
          <w:szCs w:val="20"/>
        </w:rPr>
        <w:t xml:space="preserve"> draft guidelines</w:t>
      </w:r>
      <w:r w:rsidR="009224FE">
        <w:rPr>
          <w:rFonts w:ascii="Verdana" w:hAnsi="Verdana"/>
          <w:i w:val="0"/>
          <w:iCs w:val="0"/>
          <w:sz w:val="20"/>
          <w:szCs w:val="20"/>
        </w:rPr>
        <w:t xml:space="preserve"> to a wide extent.</w:t>
      </w:r>
    </w:p>
    <w:p w:rsidR="00C600AF" w:rsidRDefault="00C600AF" w:rsidP="005C3738">
      <w:pPr>
        <w:jc w:val="both"/>
        <w:rPr>
          <w:rFonts w:ascii="Verdana" w:hAnsi="Verdana"/>
          <w:sz w:val="20"/>
          <w:szCs w:val="20"/>
        </w:rPr>
      </w:pPr>
    </w:p>
    <w:p w:rsidR="00A0737A" w:rsidRPr="00FF5870" w:rsidRDefault="00A0737A" w:rsidP="005C3738">
      <w:pPr>
        <w:jc w:val="both"/>
        <w:rPr>
          <w:rFonts w:ascii="Verdana" w:hAnsi="Verdana"/>
          <w:sz w:val="20"/>
          <w:szCs w:val="20"/>
        </w:rPr>
      </w:pPr>
    </w:p>
    <w:p w:rsidR="00C600AF" w:rsidRPr="00FF5870" w:rsidRDefault="00C600AF" w:rsidP="00A0737A">
      <w:pPr>
        <w:jc w:val="center"/>
        <w:rPr>
          <w:rFonts w:ascii="Verdana" w:hAnsi="Verdana"/>
          <w:sz w:val="20"/>
          <w:szCs w:val="20"/>
        </w:rPr>
      </w:pPr>
      <w:r w:rsidRPr="00FF5870">
        <w:rPr>
          <w:rFonts w:ascii="Verdana" w:hAnsi="Verdana"/>
          <w:sz w:val="20"/>
          <w:szCs w:val="20"/>
        </w:rPr>
        <w:t>*</w:t>
      </w:r>
      <w:r w:rsidRPr="00FF5870">
        <w:rPr>
          <w:rFonts w:ascii="Verdana" w:hAnsi="Verdana"/>
          <w:sz w:val="20"/>
          <w:szCs w:val="20"/>
        </w:rPr>
        <w:tab/>
        <w:t>*</w:t>
      </w:r>
      <w:r w:rsidRPr="00FF5870">
        <w:rPr>
          <w:rFonts w:ascii="Verdana" w:hAnsi="Verdana"/>
          <w:sz w:val="20"/>
          <w:szCs w:val="20"/>
        </w:rPr>
        <w:tab/>
        <w:t>*</w:t>
      </w:r>
      <w:r w:rsidRPr="00FF5870">
        <w:rPr>
          <w:rFonts w:ascii="Verdana" w:hAnsi="Verdana"/>
          <w:sz w:val="20"/>
          <w:szCs w:val="20"/>
        </w:rPr>
        <w:tab/>
        <w:t>*</w:t>
      </w:r>
    </w:p>
    <w:p w:rsidR="00AB59E4" w:rsidRPr="00FF5870" w:rsidRDefault="00AB59E4" w:rsidP="005C3738">
      <w:pPr>
        <w:jc w:val="both"/>
        <w:rPr>
          <w:rFonts w:ascii="Verdana" w:hAnsi="Verdana"/>
          <w:sz w:val="20"/>
          <w:szCs w:val="20"/>
        </w:rPr>
      </w:pPr>
    </w:p>
    <w:p w:rsidR="00AB59E4" w:rsidRPr="00FF5870" w:rsidRDefault="00AB59E4" w:rsidP="005C3738">
      <w:pPr>
        <w:jc w:val="both"/>
        <w:rPr>
          <w:rFonts w:ascii="Verdana" w:hAnsi="Verdana"/>
          <w:sz w:val="20"/>
          <w:szCs w:val="20"/>
        </w:rPr>
      </w:pPr>
    </w:p>
    <w:p w:rsidR="00AB59E4" w:rsidRPr="00FF5870" w:rsidRDefault="00AB59E4" w:rsidP="005C3738">
      <w:pPr>
        <w:jc w:val="both"/>
        <w:rPr>
          <w:rFonts w:ascii="Verdana" w:hAnsi="Verdana"/>
          <w:sz w:val="20"/>
          <w:szCs w:val="20"/>
        </w:rPr>
      </w:pPr>
    </w:p>
    <w:p w:rsidR="00E83998" w:rsidRPr="00FF5870" w:rsidRDefault="00E83998" w:rsidP="005C3738">
      <w:pPr>
        <w:pStyle w:val="Heading2"/>
        <w:jc w:val="both"/>
        <w:rPr>
          <w:rFonts w:ascii="Verdana" w:hAnsi="Verdana"/>
          <w:sz w:val="20"/>
          <w:szCs w:val="20"/>
          <w:lang w:val="en-US"/>
        </w:rPr>
      </w:pPr>
    </w:p>
    <w:p w:rsidR="0073560C" w:rsidRPr="00FF5870" w:rsidRDefault="002C6430" w:rsidP="005C3738">
      <w:pPr>
        <w:jc w:val="both"/>
        <w:rPr>
          <w:rFonts w:ascii="Verdana" w:hAnsi="Verdana"/>
          <w:sz w:val="20"/>
          <w:szCs w:val="20"/>
        </w:rPr>
      </w:pPr>
      <w:r w:rsidRPr="00FF5870">
        <w:rPr>
          <w:rFonts w:ascii="Verdana" w:hAnsi="Verdana"/>
          <w:b/>
          <w:bCs/>
          <w:sz w:val="20"/>
          <w:szCs w:val="20"/>
        </w:rPr>
        <w:t>Question 1: Do you agree that complaints-handling is an opportunity for further supervisory convergence? Please also state the reasons for your answer</w:t>
      </w:r>
      <w:r w:rsidRPr="00FF5870">
        <w:rPr>
          <w:rFonts w:ascii="Verdana" w:hAnsi="Verdana"/>
          <w:sz w:val="20"/>
          <w:szCs w:val="20"/>
        </w:rPr>
        <w:t>.</w:t>
      </w:r>
    </w:p>
    <w:p w:rsidR="00923EF2" w:rsidRPr="00FF5870" w:rsidRDefault="002C6430" w:rsidP="005C3738">
      <w:pPr>
        <w:jc w:val="both"/>
        <w:rPr>
          <w:rFonts w:ascii="Verdana" w:hAnsi="Verdana"/>
          <w:b/>
          <w:sz w:val="20"/>
          <w:szCs w:val="20"/>
        </w:rPr>
      </w:pPr>
      <w:r w:rsidRPr="00FF5870">
        <w:rPr>
          <w:rFonts w:ascii="Verdana" w:hAnsi="Verdana"/>
          <w:sz w:val="20"/>
          <w:szCs w:val="20"/>
        </w:rPr>
        <w:t xml:space="preserve"> </w:t>
      </w:r>
    </w:p>
    <w:p w:rsidR="008C30E0" w:rsidRPr="00FF5870" w:rsidRDefault="001D4867" w:rsidP="005C3738">
      <w:pPr>
        <w:jc w:val="both"/>
        <w:rPr>
          <w:rFonts w:ascii="Verdana" w:hAnsi="Verdana"/>
          <w:sz w:val="20"/>
          <w:szCs w:val="20"/>
        </w:rPr>
      </w:pPr>
      <w:r w:rsidRPr="00FF5870">
        <w:rPr>
          <w:rFonts w:ascii="Verdana" w:hAnsi="Verdana"/>
          <w:sz w:val="20"/>
          <w:szCs w:val="20"/>
        </w:rPr>
        <w:t>ALF</w:t>
      </w:r>
      <w:r w:rsidR="00923EF2" w:rsidRPr="00FF5870">
        <w:rPr>
          <w:rFonts w:ascii="Verdana" w:hAnsi="Verdana"/>
          <w:sz w:val="20"/>
          <w:szCs w:val="20"/>
        </w:rPr>
        <w:t>I</w:t>
      </w:r>
      <w:r w:rsidRPr="00FF5870">
        <w:rPr>
          <w:rFonts w:ascii="Verdana" w:hAnsi="Verdana"/>
          <w:sz w:val="20"/>
          <w:szCs w:val="20"/>
        </w:rPr>
        <w:t xml:space="preserve"> agrees that </w:t>
      </w:r>
      <w:r w:rsidR="00F43AB2" w:rsidRPr="00FF5870">
        <w:rPr>
          <w:rFonts w:ascii="Verdana" w:hAnsi="Verdana"/>
          <w:sz w:val="20"/>
          <w:szCs w:val="20"/>
        </w:rPr>
        <w:t>an adequate protection of complainants must be ensured</w:t>
      </w:r>
      <w:r w:rsidR="00EB54CF" w:rsidRPr="00FF5870">
        <w:rPr>
          <w:rFonts w:ascii="Verdana" w:hAnsi="Verdana"/>
          <w:sz w:val="20"/>
          <w:szCs w:val="20"/>
        </w:rPr>
        <w:t xml:space="preserve"> in the European Union</w:t>
      </w:r>
      <w:r w:rsidR="0073560C" w:rsidRPr="00FF5870">
        <w:rPr>
          <w:rFonts w:ascii="Verdana" w:hAnsi="Verdana"/>
          <w:sz w:val="20"/>
          <w:szCs w:val="20"/>
        </w:rPr>
        <w:t>.</w:t>
      </w:r>
      <w:r w:rsidR="00F43AB2" w:rsidRPr="00FF5870">
        <w:rPr>
          <w:rFonts w:ascii="Verdana" w:hAnsi="Verdana"/>
          <w:sz w:val="20"/>
          <w:szCs w:val="20"/>
        </w:rPr>
        <w:t xml:space="preserve">  </w:t>
      </w:r>
      <w:r w:rsidR="00007943" w:rsidRPr="00FF5870">
        <w:rPr>
          <w:rFonts w:ascii="Verdana" w:hAnsi="Verdana"/>
          <w:sz w:val="20"/>
          <w:szCs w:val="20"/>
        </w:rPr>
        <w:t>Although e</w:t>
      </w:r>
      <w:r w:rsidR="00F43AB2" w:rsidRPr="00FF5870">
        <w:rPr>
          <w:rFonts w:ascii="Verdana" w:hAnsi="Verdana"/>
          <w:sz w:val="20"/>
          <w:szCs w:val="20"/>
        </w:rPr>
        <w:t xml:space="preserve">xisting regulations </w:t>
      </w:r>
      <w:r w:rsidR="00B80291">
        <w:rPr>
          <w:rFonts w:ascii="Verdana" w:hAnsi="Verdana"/>
          <w:sz w:val="20"/>
          <w:szCs w:val="20"/>
        </w:rPr>
        <w:t>already contain a solid framework</w:t>
      </w:r>
      <w:r w:rsidR="00B80291" w:rsidRPr="00FF5870">
        <w:rPr>
          <w:rFonts w:ascii="Verdana" w:hAnsi="Verdana"/>
          <w:sz w:val="20"/>
          <w:szCs w:val="20"/>
        </w:rPr>
        <w:t xml:space="preserve"> </w:t>
      </w:r>
      <w:r w:rsidRPr="00FF5870">
        <w:rPr>
          <w:rFonts w:ascii="Verdana" w:hAnsi="Verdana"/>
          <w:sz w:val="20"/>
          <w:szCs w:val="20"/>
        </w:rPr>
        <w:t>in our view</w:t>
      </w:r>
      <w:r w:rsidR="00007943" w:rsidRPr="00FF5870">
        <w:rPr>
          <w:rFonts w:ascii="Verdana" w:hAnsi="Verdana"/>
          <w:sz w:val="20"/>
          <w:szCs w:val="20"/>
        </w:rPr>
        <w:t>, a more</w:t>
      </w:r>
      <w:r w:rsidR="00D71800" w:rsidRPr="00FF5870">
        <w:rPr>
          <w:rFonts w:ascii="Verdana" w:hAnsi="Verdana"/>
          <w:sz w:val="20"/>
          <w:szCs w:val="20"/>
        </w:rPr>
        <w:t xml:space="preserve"> </w:t>
      </w:r>
      <w:r w:rsidR="00007943" w:rsidRPr="00FF5870">
        <w:rPr>
          <w:rFonts w:ascii="Verdana" w:hAnsi="Verdana"/>
          <w:sz w:val="20"/>
          <w:szCs w:val="20"/>
        </w:rPr>
        <w:t>harmonised supervisory convergence</w:t>
      </w:r>
      <w:r w:rsidR="00F43AB2" w:rsidRPr="00FF5870">
        <w:rPr>
          <w:rFonts w:ascii="Verdana" w:hAnsi="Verdana"/>
          <w:sz w:val="20"/>
          <w:szCs w:val="20"/>
        </w:rPr>
        <w:t xml:space="preserve"> </w:t>
      </w:r>
      <w:r w:rsidR="00007943" w:rsidRPr="00FF5870">
        <w:rPr>
          <w:rFonts w:ascii="Verdana" w:hAnsi="Verdana"/>
          <w:sz w:val="20"/>
          <w:szCs w:val="20"/>
        </w:rPr>
        <w:t>can improve investor protection further.</w:t>
      </w:r>
      <w:r w:rsidRPr="00FF5870">
        <w:rPr>
          <w:rFonts w:ascii="Verdana" w:hAnsi="Verdana"/>
          <w:sz w:val="20"/>
          <w:szCs w:val="20"/>
        </w:rPr>
        <w:t xml:space="preserve">  </w:t>
      </w:r>
    </w:p>
    <w:p w:rsidR="008C30E0" w:rsidRPr="00FF5870" w:rsidRDefault="008C30E0" w:rsidP="005C3738">
      <w:pPr>
        <w:jc w:val="both"/>
        <w:rPr>
          <w:rFonts w:ascii="Verdana" w:hAnsi="Verdana"/>
          <w:sz w:val="20"/>
          <w:szCs w:val="20"/>
        </w:rPr>
      </w:pPr>
    </w:p>
    <w:p w:rsidR="008C30E0" w:rsidRPr="00FF5870" w:rsidRDefault="008C30E0" w:rsidP="005C3738">
      <w:pPr>
        <w:jc w:val="both"/>
        <w:rPr>
          <w:rFonts w:ascii="Verdana" w:hAnsi="Verdana"/>
          <w:sz w:val="20"/>
          <w:szCs w:val="20"/>
        </w:rPr>
      </w:pPr>
    </w:p>
    <w:p w:rsidR="00446087" w:rsidRPr="00FF5870" w:rsidRDefault="00610594" w:rsidP="005C3738">
      <w:pPr>
        <w:jc w:val="both"/>
        <w:rPr>
          <w:rFonts w:ascii="Verdana" w:hAnsi="Verdana"/>
          <w:b/>
          <w:sz w:val="20"/>
          <w:szCs w:val="20"/>
          <w:u w:val="single"/>
        </w:rPr>
      </w:pPr>
      <w:r w:rsidRPr="00FF5870">
        <w:rPr>
          <w:rFonts w:ascii="Verdana" w:hAnsi="Verdana"/>
          <w:sz w:val="20"/>
          <w:szCs w:val="20"/>
        </w:rPr>
        <w:t xml:space="preserve"> </w:t>
      </w:r>
      <w:r w:rsidR="009A186B" w:rsidRPr="00FF5870">
        <w:rPr>
          <w:rFonts w:ascii="Verdana" w:hAnsi="Verdana"/>
          <w:b/>
          <w:sz w:val="20"/>
          <w:szCs w:val="20"/>
          <w:u w:val="single"/>
        </w:rPr>
        <w:t>Comments on the draft guidelines</w:t>
      </w:r>
    </w:p>
    <w:p w:rsidR="009A186B" w:rsidRPr="00FF5870" w:rsidRDefault="009A186B" w:rsidP="005C3738">
      <w:pPr>
        <w:jc w:val="both"/>
        <w:rPr>
          <w:rFonts w:ascii="Verdana" w:hAnsi="Verdana"/>
          <w:b/>
          <w:sz w:val="20"/>
          <w:szCs w:val="20"/>
          <w:u w:val="single"/>
        </w:rPr>
      </w:pPr>
    </w:p>
    <w:p w:rsidR="00216496" w:rsidRPr="00FF5870" w:rsidRDefault="00216496" w:rsidP="005C3738">
      <w:pPr>
        <w:pStyle w:val="Default"/>
        <w:jc w:val="both"/>
        <w:rPr>
          <w:b/>
          <w:bCs/>
          <w:sz w:val="20"/>
          <w:szCs w:val="20"/>
          <w:lang w:val="en-US"/>
        </w:rPr>
      </w:pPr>
    </w:p>
    <w:p w:rsidR="00B90BAF" w:rsidRPr="00FF5870" w:rsidRDefault="00B90BAF" w:rsidP="005C3738">
      <w:pPr>
        <w:pStyle w:val="Default"/>
        <w:jc w:val="both"/>
        <w:rPr>
          <w:b/>
          <w:bCs/>
          <w:sz w:val="20"/>
          <w:szCs w:val="20"/>
          <w:lang w:val="en-US"/>
        </w:rPr>
      </w:pPr>
      <w:r w:rsidRPr="00FF5870">
        <w:rPr>
          <w:b/>
          <w:bCs/>
          <w:sz w:val="20"/>
          <w:szCs w:val="20"/>
          <w:lang w:val="en-US"/>
        </w:rPr>
        <w:t xml:space="preserve">Guideline 1 - Complaints management policy </w:t>
      </w:r>
    </w:p>
    <w:p w:rsidR="007A2FB9" w:rsidRPr="00FF5870" w:rsidRDefault="007A2FB9" w:rsidP="005C3738">
      <w:pPr>
        <w:pStyle w:val="Default"/>
        <w:jc w:val="both"/>
        <w:rPr>
          <w:sz w:val="20"/>
          <w:szCs w:val="20"/>
          <w:lang w:val="en-US"/>
        </w:rPr>
      </w:pPr>
    </w:p>
    <w:p w:rsidR="00446087" w:rsidRPr="00FF5870" w:rsidRDefault="004725E8" w:rsidP="005C3738">
      <w:pPr>
        <w:jc w:val="both"/>
        <w:rPr>
          <w:rFonts w:ascii="Verdana" w:hAnsi="Verdana"/>
          <w:sz w:val="20"/>
          <w:szCs w:val="20"/>
        </w:rPr>
      </w:pPr>
      <w:r w:rsidRPr="00FF5870">
        <w:rPr>
          <w:rFonts w:ascii="Verdana" w:hAnsi="Verdana"/>
          <w:sz w:val="20"/>
          <w:szCs w:val="20"/>
        </w:rPr>
        <w:t xml:space="preserve">ALFI is of the view that current rules </w:t>
      </w:r>
      <w:r w:rsidR="00E15A21" w:rsidRPr="00FF5870">
        <w:rPr>
          <w:rFonts w:ascii="Verdana" w:hAnsi="Verdana"/>
          <w:sz w:val="20"/>
          <w:szCs w:val="20"/>
        </w:rPr>
        <w:t xml:space="preserve">on complaints management policy concerning UCITS and investment firms </w:t>
      </w:r>
      <w:r w:rsidR="00B80291">
        <w:rPr>
          <w:rFonts w:ascii="Verdana" w:hAnsi="Verdana"/>
          <w:sz w:val="20"/>
          <w:szCs w:val="20"/>
        </w:rPr>
        <w:t>do</w:t>
      </w:r>
      <w:r w:rsidR="00B80291" w:rsidRPr="00FF5870">
        <w:rPr>
          <w:rFonts w:ascii="Verdana" w:hAnsi="Verdana"/>
          <w:sz w:val="20"/>
          <w:szCs w:val="20"/>
        </w:rPr>
        <w:t xml:space="preserve"> </w:t>
      </w:r>
      <w:r w:rsidRPr="00FF5870">
        <w:rPr>
          <w:rFonts w:ascii="Verdana" w:hAnsi="Verdana"/>
          <w:sz w:val="20"/>
          <w:szCs w:val="20"/>
        </w:rPr>
        <w:t xml:space="preserve">already </w:t>
      </w:r>
      <w:r w:rsidR="00B80291">
        <w:rPr>
          <w:rFonts w:ascii="Verdana" w:hAnsi="Verdana"/>
          <w:sz w:val="20"/>
          <w:szCs w:val="20"/>
        </w:rPr>
        <w:t xml:space="preserve">offer an appropriate framework regarding complaints </w:t>
      </w:r>
      <w:r w:rsidR="00B80291">
        <w:rPr>
          <w:rFonts w:ascii="Verdana" w:hAnsi="Verdana"/>
          <w:sz w:val="20"/>
          <w:szCs w:val="20"/>
        </w:rPr>
        <w:lastRenderedPageBreak/>
        <w:t>management policies</w:t>
      </w:r>
      <w:r w:rsidR="00007943" w:rsidRPr="00FF5870">
        <w:rPr>
          <w:rFonts w:ascii="Verdana" w:hAnsi="Verdana"/>
          <w:sz w:val="20"/>
          <w:szCs w:val="20"/>
        </w:rPr>
        <w:t>. A</w:t>
      </w:r>
      <w:r w:rsidR="008C30E0" w:rsidRPr="00FF5870">
        <w:rPr>
          <w:rFonts w:ascii="Verdana" w:hAnsi="Verdana"/>
          <w:sz w:val="20"/>
          <w:szCs w:val="20"/>
        </w:rPr>
        <w:t>s</w:t>
      </w:r>
      <w:r w:rsidR="00007943" w:rsidRPr="00FF5870">
        <w:rPr>
          <w:rFonts w:ascii="Verdana" w:hAnsi="Verdana"/>
          <w:sz w:val="20"/>
          <w:szCs w:val="20"/>
        </w:rPr>
        <w:t xml:space="preserve"> regards UCITS in particular, t</w:t>
      </w:r>
      <w:r w:rsidRPr="00FF5870">
        <w:rPr>
          <w:rFonts w:ascii="Verdana" w:hAnsi="Verdana"/>
          <w:sz w:val="20"/>
          <w:szCs w:val="20"/>
        </w:rPr>
        <w:t>h</w:t>
      </w:r>
      <w:r w:rsidR="00446087" w:rsidRPr="00FF5870">
        <w:rPr>
          <w:rFonts w:ascii="Verdana" w:hAnsi="Verdana"/>
          <w:sz w:val="20"/>
          <w:szCs w:val="20"/>
        </w:rPr>
        <w:t>e</w:t>
      </w:r>
      <w:r w:rsidRPr="00FF5870">
        <w:rPr>
          <w:rFonts w:ascii="Verdana" w:hAnsi="Verdana"/>
          <w:sz w:val="20"/>
          <w:szCs w:val="20"/>
        </w:rPr>
        <w:t>se aspects</w:t>
      </w:r>
      <w:r w:rsidR="00007943" w:rsidRPr="00FF5870">
        <w:rPr>
          <w:rFonts w:ascii="Verdana" w:hAnsi="Verdana"/>
          <w:sz w:val="20"/>
          <w:szCs w:val="20"/>
        </w:rPr>
        <w:t xml:space="preserve"> are</w:t>
      </w:r>
      <w:r w:rsidRPr="00FF5870">
        <w:rPr>
          <w:rFonts w:ascii="Verdana" w:hAnsi="Verdana"/>
          <w:sz w:val="20"/>
          <w:szCs w:val="20"/>
        </w:rPr>
        <w:t xml:space="preserve"> covered by</w:t>
      </w:r>
      <w:r w:rsidR="00D37C7E" w:rsidRPr="00FF5870">
        <w:rPr>
          <w:rFonts w:ascii="Verdana" w:hAnsi="Verdana"/>
          <w:sz w:val="20"/>
          <w:szCs w:val="20"/>
        </w:rPr>
        <w:t xml:space="preserve"> the UCITS Directive and its implementing law in Luxembourg (Law of 17 December 2010), as well as subsequent CSSF regulation 10-4 on </w:t>
      </w:r>
      <w:r w:rsidR="00F16F8D" w:rsidRPr="00FF5870">
        <w:rPr>
          <w:rFonts w:ascii="Verdana" w:hAnsi="Verdana"/>
          <w:sz w:val="20"/>
          <w:szCs w:val="20"/>
        </w:rPr>
        <w:t xml:space="preserve">organisational requirements, conflicts of interest, conduct of business, risk management and content of the agreement between a depositary and a management company, </w:t>
      </w:r>
      <w:r w:rsidR="00D37C7E" w:rsidRPr="00FF5870">
        <w:rPr>
          <w:rFonts w:ascii="Verdana" w:hAnsi="Verdana"/>
          <w:sz w:val="20"/>
          <w:szCs w:val="20"/>
        </w:rPr>
        <w:t>and Circular 12/546</w:t>
      </w:r>
      <w:r w:rsidR="00F16F8D" w:rsidRPr="00FF5870">
        <w:rPr>
          <w:rFonts w:ascii="Verdana" w:hAnsi="Verdana"/>
          <w:sz w:val="20"/>
          <w:szCs w:val="20"/>
        </w:rPr>
        <w:t xml:space="preserve"> </w:t>
      </w:r>
      <w:r w:rsidR="00590554" w:rsidRPr="00FF5870">
        <w:rPr>
          <w:rFonts w:ascii="Verdana" w:hAnsi="Verdana"/>
          <w:sz w:val="20"/>
          <w:szCs w:val="20"/>
        </w:rPr>
        <w:t xml:space="preserve">on </w:t>
      </w:r>
      <w:r w:rsidR="00F16F8D" w:rsidRPr="00FF5870">
        <w:rPr>
          <w:rFonts w:ascii="Verdana" w:hAnsi="Verdana"/>
          <w:sz w:val="20"/>
          <w:szCs w:val="20"/>
        </w:rPr>
        <w:t>the authorisation and organisation of UCITS management companies</w:t>
      </w:r>
      <w:r w:rsidR="00E15A21" w:rsidRPr="00FF5870">
        <w:rPr>
          <w:rFonts w:ascii="Verdana" w:hAnsi="Verdana"/>
          <w:sz w:val="20"/>
          <w:szCs w:val="20"/>
        </w:rPr>
        <w:t>.</w:t>
      </w:r>
    </w:p>
    <w:p w:rsidR="000A40C2" w:rsidRPr="00FF5870" w:rsidRDefault="000A40C2" w:rsidP="005C3738">
      <w:pPr>
        <w:jc w:val="both"/>
        <w:rPr>
          <w:rFonts w:ascii="Verdana" w:hAnsi="Verdana"/>
          <w:sz w:val="20"/>
          <w:szCs w:val="20"/>
        </w:rPr>
      </w:pPr>
    </w:p>
    <w:p w:rsidR="000A40C2" w:rsidRPr="00FF5870" w:rsidRDefault="00007943" w:rsidP="005C3738">
      <w:pPr>
        <w:jc w:val="both"/>
        <w:rPr>
          <w:rFonts w:ascii="Verdana" w:hAnsi="Verdana"/>
          <w:sz w:val="20"/>
          <w:szCs w:val="20"/>
        </w:rPr>
      </w:pPr>
      <w:r w:rsidRPr="00FF5870">
        <w:rPr>
          <w:rFonts w:ascii="Verdana" w:hAnsi="Verdana"/>
          <w:sz w:val="20"/>
          <w:szCs w:val="20"/>
        </w:rPr>
        <w:t>More specifically</w:t>
      </w:r>
      <w:r w:rsidR="000A40C2" w:rsidRPr="00FF5870">
        <w:rPr>
          <w:rFonts w:ascii="Verdana" w:hAnsi="Verdana"/>
          <w:sz w:val="20"/>
          <w:szCs w:val="20"/>
        </w:rPr>
        <w:t xml:space="preserve">, article 5.2. of Circular 12/546 mentioned above </w:t>
      </w:r>
      <w:r w:rsidR="009D57C0" w:rsidRPr="00FF5870">
        <w:rPr>
          <w:rFonts w:ascii="Verdana" w:hAnsi="Verdana"/>
          <w:sz w:val="20"/>
          <w:szCs w:val="20"/>
        </w:rPr>
        <w:t xml:space="preserve">provides for arrangements to be complied with in the area of </w:t>
      </w:r>
      <w:r w:rsidR="00E15A21" w:rsidRPr="00FF5870">
        <w:rPr>
          <w:rFonts w:ascii="Verdana" w:hAnsi="Verdana"/>
          <w:sz w:val="20"/>
          <w:szCs w:val="20"/>
        </w:rPr>
        <w:t xml:space="preserve">the </w:t>
      </w:r>
      <w:r w:rsidR="009D57C0" w:rsidRPr="00FF5870">
        <w:rPr>
          <w:rFonts w:ascii="Verdana" w:hAnsi="Verdana"/>
          <w:sz w:val="20"/>
          <w:szCs w:val="20"/>
        </w:rPr>
        <w:t xml:space="preserve">internal governance of UCITS management companies and </w:t>
      </w:r>
      <w:r w:rsidR="006B7856" w:rsidRPr="00FF5870">
        <w:rPr>
          <w:rFonts w:ascii="Verdana" w:hAnsi="Verdana"/>
          <w:sz w:val="20"/>
          <w:szCs w:val="20"/>
        </w:rPr>
        <w:t xml:space="preserve">article 5.2.2. </w:t>
      </w:r>
      <w:r w:rsidR="00E15A21" w:rsidRPr="00FF5870">
        <w:rPr>
          <w:rFonts w:ascii="Verdana" w:hAnsi="Verdana"/>
          <w:sz w:val="20"/>
          <w:szCs w:val="20"/>
        </w:rPr>
        <w:t>p</w:t>
      </w:r>
      <w:r w:rsidR="006B7856" w:rsidRPr="00FF5870">
        <w:rPr>
          <w:rFonts w:ascii="Verdana" w:hAnsi="Verdana"/>
          <w:sz w:val="20"/>
          <w:szCs w:val="20"/>
        </w:rPr>
        <w:t xml:space="preserve">rovides that </w:t>
      </w:r>
      <w:r w:rsidR="00590554" w:rsidRPr="00FF5870">
        <w:rPr>
          <w:rFonts w:ascii="Verdana" w:hAnsi="Verdana"/>
          <w:sz w:val="20"/>
          <w:szCs w:val="20"/>
        </w:rPr>
        <w:t>every management company must</w:t>
      </w:r>
      <w:r w:rsidRPr="00FF5870">
        <w:rPr>
          <w:rFonts w:ascii="Verdana" w:hAnsi="Verdana"/>
          <w:sz w:val="20"/>
          <w:szCs w:val="20"/>
        </w:rPr>
        <w:t xml:space="preserve"> </w:t>
      </w:r>
      <w:r w:rsidR="00590554" w:rsidRPr="00FF5870">
        <w:rPr>
          <w:rFonts w:ascii="Verdana" w:hAnsi="Verdana"/>
          <w:sz w:val="20"/>
          <w:szCs w:val="20"/>
        </w:rPr>
        <w:t xml:space="preserve">implement and maintain effective and transparent procedures for the reasonable and prompt handling of complaints received from investors. </w:t>
      </w:r>
      <w:r w:rsidR="00E15A21" w:rsidRPr="00FF5870">
        <w:rPr>
          <w:rFonts w:ascii="Verdana" w:hAnsi="Verdana"/>
          <w:sz w:val="20"/>
          <w:szCs w:val="20"/>
        </w:rPr>
        <w:t>It also requests that</w:t>
      </w:r>
      <w:r w:rsidRPr="00FF5870">
        <w:rPr>
          <w:rFonts w:ascii="Verdana" w:hAnsi="Verdana"/>
          <w:sz w:val="20"/>
          <w:szCs w:val="20"/>
        </w:rPr>
        <w:t xml:space="preserve"> </w:t>
      </w:r>
      <w:r w:rsidR="00E15A21" w:rsidRPr="00FF5870">
        <w:rPr>
          <w:rFonts w:ascii="Verdana" w:hAnsi="Verdana"/>
          <w:sz w:val="20"/>
          <w:szCs w:val="20"/>
        </w:rPr>
        <w:t>t</w:t>
      </w:r>
      <w:r w:rsidR="00590554" w:rsidRPr="00FF5870">
        <w:rPr>
          <w:rFonts w:ascii="Verdana" w:hAnsi="Verdana"/>
          <w:sz w:val="20"/>
          <w:szCs w:val="20"/>
        </w:rPr>
        <w:t xml:space="preserve">he information concerning these procedures be made available to investors free of charge. </w:t>
      </w:r>
    </w:p>
    <w:p w:rsidR="00590554" w:rsidRPr="00FF5870" w:rsidRDefault="00590554" w:rsidP="005C3738">
      <w:pPr>
        <w:jc w:val="both"/>
        <w:rPr>
          <w:rFonts w:ascii="Verdana" w:hAnsi="Verdana"/>
          <w:sz w:val="20"/>
          <w:szCs w:val="20"/>
        </w:rPr>
      </w:pPr>
      <w:r w:rsidRPr="00FF5870">
        <w:rPr>
          <w:rFonts w:ascii="Verdana" w:hAnsi="Verdana"/>
          <w:sz w:val="20"/>
          <w:szCs w:val="20"/>
        </w:rPr>
        <w:t>The same article provides that the management company must designate amongst its staff one person responsible for the handling, centralisation and follow-up of complaints. The name of this person must be communicated to the CSSF.</w:t>
      </w:r>
      <w:r w:rsidR="00E15A21" w:rsidRPr="00FF5870">
        <w:rPr>
          <w:rFonts w:ascii="Verdana" w:hAnsi="Verdana"/>
          <w:sz w:val="20"/>
          <w:szCs w:val="20"/>
        </w:rPr>
        <w:t xml:space="preserve"> </w:t>
      </w:r>
      <w:r w:rsidRPr="00FF5870">
        <w:rPr>
          <w:rFonts w:ascii="Verdana" w:hAnsi="Verdana"/>
          <w:sz w:val="20"/>
          <w:szCs w:val="20"/>
        </w:rPr>
        <w:t>A specific mandate for the handling of complaints can be given to a specialised third party established in Luxembourg or abroad. Furthermore, the activity plan</w:t>
      </w:r>
      <w:r w:rsidR="00E15A21" w:rsidRPr="00FF5870">
        <w:rPr>
          <w:rFonts w:ascii="Verdana" w:hAnsi="Verdana"/>
          <w:sz w:val="20"/>
          <w:szCs w:val="20"/>
        </w:rPr>
        <w:t xml:space="preserve"> of the management company</w:t>
      </w:r>
      <w:r w:rsidRPr="00FF5870">
        <w:rPr>
          <w:rFonts w:ascii="Verdana" w:hAnsi="Verdana"/>
          <w:sz w:val="20"/>
          <w:szCs w:val="20"/>
        </w:rPr>
        <w:t xml:space="preserve"> </w:t>
      </w:r>
      <w:r w:rsidR="00E15A21" w:rsidRPr="00FF5870">
        <w:rPr>
          <w:rFonts w:ascii="Verdana" w:hAnsi="Verdana"/>
          <w:sz w:val="20"/>
          <w:szCs w:val="20"/>
        </w:rPr>
        <w:t xml:space="preserve">must </w:t>
      </w:r>
      <w:r w:rsidRPr="00FF5870">
        <w:rPr>
          <w:rFonts w:ascii="Verdana" w:hAnsi="Verdana"/>
          <w:sz w:val="20"/>
          <w:szCs w:val="20"/>
        </w:rPr>
        <w:t>comprise a description of the complaints handling procedures established by the management company.</w:t>
      </w:r>
    </w:p>
    <w:p w:rsidR="000A40C2" w:rsidRPr="00FF5870" w:rsidRDefault="000A40C2" w:rsidP="005C3738">
      <w:pPr>
        <w:jc w:val="both"/>
        <w:rPr>
          <w:rFonts w:ascii="Verdana" w:hAnsi="Verdana"/>
          <w:sz w:val="20"/>
          <w:szCs w:val="20"/>
        </w:rPr>
      </w:pPr>
    </w:p>
    <w:p w:rsidR="00C10E58" w:rsidRPr="00FF5870" w:rsidRDefault="00C10E58" w:rsidP="005C3738">
      <w:pPr>
        <w:jc w:val="both"/>
        <w:rPr>
          <w:rFonts w:ascii="Verdana" w:hAnsi="Verdana"/>
          <w:sz w:val="20"/>
          <w:szCs w:val="20"/>
        </w:rPr>
      </w:pPr>
      <w:r w:rsidRPr="00FF5870">
        <w:rPr>
          <w:rFonts w:ascii="Verdana" w:hAnsi="Verdana"/>
          <w:sz w:val="20"/>
          <w:szCs w:val="20"/>
        </w:rPr>
        <w:t xml:space="preserve">It should be noted that </w:t>
      </w:r>
      <w:r w:rsidR="00C12FFF" w:rsidRPr="00FF5870">
        <w:rPr>
          <w:rFonts w:ascii="Verdana" w:hAnsi="Verdana"/>
          <w:sz w:val="20"/>
          <w:szCs w:val="20"/>
        </w:rPr>
        <w:t>the conducting officers</w:t>
      </w:r>
      <w:r w:rsidR="00CE45B3" w:rsidRPr="00FF5870">
        <w:rPr>
          <w:rFonts w:ascii="Verdana" w:hAnsi="Verdana"/>
          <w:sz w:val="20"/>
          <w:szCs w:val="20"/>
        </w:rPr>
        <w:t xml:space="preserve"> of a UCITS management company</w:t>
      </w:r>
      <w:r w:rsidR="00C12FFF" w:rsidRPr="00FF5870">
        <w:rPr>
          <w:rFonts w:ascii="Verdana" w:hAnsi="Verdana"/>
          <w:sz w:val="20"/>
          <w:szCs w:val="20"/>
        </w:rPr>
        <w:t xml:space="preserve"> are</w:t>
      </w:r>
      <w:r w:rsidR="00CE45B3" w:rsidRPr="00FF5870">
        <w:rPr>
          <w:rFonts w:ascii="Verdana" w:hAnsi="Verdana"/>
          <w:sz w:val="20"/>
          <w:szCs w:val="20"/>
        </w:rPr>
        <w:t xml:space="preserve"> among other things responsible, under the Board’s ultimate responsibility, for the implementation of strategies an</w:t>
      </w:r>
      <w:r w:rsidR="00E15A21" w:rsidRPr="00FF5870">
        <w:rPr>
          <w:rFonts w:ascii="Verdana" w:hAnsi="Verdana"/>
          <w:sz w:val="20"/>
          <w:szCs w:val="20"/>
        </w:rPr>
        <w:t>d</w:t>
      </w:r>
      <w:r w:rsidR="00CE45B3" w:rsidRPr="00FF5870">
        <w:rPr>
          <w:rFonts w:ascii="Verdana" w:hAnsi="Verdana"/>
          <w:sz w:val="20"/>
          <w:szCs w:val="20"/>
        </w:rPr>
        <w:t xml:space="preserve"> guiding principles for the internal governance of the management company through specific written internal policies and procedures. This includes complaints handling procedures.</w:t>
      </w:r>
    </w:p>
    <w:p w:rsidR="00446087" w:rsidRPr="00FF5870" w:rsidRDefault="00446087" w:rsidP="005C3738">
      <w:pPr>
        <w:jc w:val="both"/>
        <w:rPr>
          <w:rFonts w:ascii="Verdana" w:hAnsi="Verdana"/>
          <w:sz w:val="20"/>
          <w:szCs w:val="20"/>
        </w:rPr>
      </w:pPr>
    </w:p>
    <w:p w:rsidR="00446087" w:rsidRPr="00FF5870" w:rsidRDefault="00446087" w:rsidP="005C3738">
      <w:pPr>
        <w:jc w:val="both"/>
        <w:rPr>
          <w:rFonts w:ascii="Verdana" w:hAnsi="Verdana"/>
          <w:b/>
          <w:sz w:val="20"/>
          <w:szCs w:val="20"/>
        </w:rPr>
      </w:pPr>
    </w:p>
    <w:p w:rsidR="00176394" w:rsidRPr="00FF5870" w:rsidRDefault="00176394" w:rsidP="005C3738">
      <w:pPr>
        <w:jc w:val="both"/>
        <w:rPr>
          <w:rFonts w:ascii="Verdana" w:hAnsi="Verdana"/>
          <w:sz w:val="20"/>
          <w:szCs w:val="20"/>
        </w:rPr>
      </w:pPr>
    </w:p>
    <w:p w:rsidR="006B7856" w:rsidRPr="00FF5870" w:rsidRDefault="006B7856" w:rsidP="005C3738">
      <w:pPr>
        <w:pStyle w:val="Heading2"/>
        <w:jc w:val="both"/>
        <w:rPr>
          <w:rFonts w:ascii="Verdana" w:hAnsi="Verdana"/>
          <w:b w:val="0"/>
          <w:sz w:val="20"/>
          <w:szCs w:val="20"/>
          <w:lang w:val="en-GB"/>
        </w:rPr>
      </w:pPr>
      <w:r w:rsidRPr="00FF5870">
        <w:rPr>
          <w:rFonts w:ascii="Verdana" w:hAnsi="Verdana"/>
          <w:sz w:val="20"/>
          <w:szCs w:val="20"/>
          <w:lang w:val="en-US"/>
        </w:rPr>
        <w:t>Guideline 2 – Complaints management function</w:t>
      </w:r>
      <w:r w:rsidR="008979BC" w:rsidRPr="00FF5870">
        <w:rPr>
          <w:rFonts w:ascii="Verdana" w:hAnsi="Verdana"/>
          <w:sz w:val="20"/>
          <w:szCs w:val="20"/>
          <w:lang w:val="en-US"/>
        </w:rPr>
        <w:t xml:space="preserve"> </w:t>
      </w:r>
    </w:p>
    <w:p w:rsidR="0074297A" w:rsidRPr="00FF5870" w:rsidRDefault="0074297A" w:rsidP="005C3738">
      <w:pPr>
        <w:pStyle w:val="Heading2"/>
        <w:jc w:val="both"/>
        <w:rPr>
          <w:rFonts w:ascii="Verdana" w:hAnsi="Verdana"/>
          <w:b w:val="0"/>
          <w:sz w:val="20"/>
          <w:szCs w:val="20"/>
          <w:lang w:val="en-GB"/>
        </w:rPr>
      </w:pPr>
    </w:p>
    <w:p w:rsidR="009B4547" w:rsidRPr="00FF5870" w:rsidRDefault="00E15A21" w:rsidP="005C3738">
      <w:pPr>
        <w:pStyle w:val="NormalWeb"/>
        <w:jc w:val="both"/>
        <w:rPr>
          <w:rFonts w:ascii="Verdana" w:hAnsi="Verdana"/>
          <w:sz w:val="20"/>
          <w:szCs w:val="20"/>
          <w:lang w:val="en-US"/>
        </w:rPr>
      </w:pPr>
      <w:r w:rsidRPr="00FF5870">
        <w:rPr>
          <w:rFonts w:ascii="Verdana" w:hAnsi="Verdana"/>
          <w:sz w:val="20"/>
          <w:szCs w:val="20"/>
          <w:lang w:val="en-US"/>
        </w:rPr>
        <w:t>ALFI</w:t>
      </w:r>
      <w:r w:rsidR="0040001E" w:rsidRPr="00FF5870">
        <w:rPr>
          <w:rFonts w:ascii="Verdana" w:hAnsi="Verdana"/>
          <w:sz w:val="20"/>
          <w:szCs w:val="20"/>
          <w:lang w:val="en-US"/>
        </w:rPr>
        <w:t xml:space="preserve"> would like to draw ESMA’s attention to the fact that this guideline</w:t>
      </w:r>
      <w:r w:rsidR="00B80291">
        <w:rPr>
          <w:rFonts w:ascii="Verdana" w:hAnsi="Verdana"/>
          <w:sz w:val="20"/>
          <w:szCs w:val="20"/>
          <w:lang w:val="en-US"/>
        </w:rPr>
        <w:t xml:space="preserve"> is</w:t>
      </w:r>
      <w:r w:rsidR="0040001E" w:rsidRPr="00FF5870">
        <w:rPr>
          <w:rFonts w:ascii="Verdana" w:hAnsi="Verdana"/>
          <w:sz w:val="20"/>
          <w:szCs w:val="20"/>
          <w:lang w:val="en-US"/>
        </w:rPr>
        <w:t xml:space="preserve"> </w:t>
      </w:r>
      <w:r w:rsidR="008C30E0" w:rsidRPr="00FF5870">
        <w:rPr>
          <w:rFonts w:ascii="Verdana" w:hAnsi="Verdana"/>
          <w:sz w:val="20"/>
          <w:szCs w:val="20"/>
          <w:lang w:val="en-US"/>
        </w:rPr>
        <w:t>consistently</w:t>
      </w:r>
      <w:r w:rsidR="0040001E" w:rsidRPr="00FF5870">
        <w:rPr>
          <w:rFonts w:ascii="Verdana" w:hAnsi="Verdana"/>
          <w:sz w:val="20"/>
          <w:szCs w:val="20"/>
          <w:lang w:val="en-US"/>
        </w:rPr>
        <w:t xml:space="preserve"> applied </w:t>
      </w:r>
      <w:r w:rsidR="008C30E0" w:rsidRPr="00FF5870">
        <w:rPr>
          <w:rFonts w:ascii="Verdana" w:hAnsi="Verdana"/>
          <w:sz w:val="20"/>
          <w:szCs w:val="20"/>
          <w:lang w:val="en-US"/>
        </w:rPr>
        <w:t>across the industry</w:t>
      </w:r>
      <w:r w:rsidR="0040001E" w:rsidRPr="00FF5870">
        <w:rPr>
          <w:rFonts w:ascii="Verdana" w:hAnsi="Verdana"/>
          <w:sz w:val="20"/>
          <w:szCs w:val="20"/>
          <w:lang w:val="en-US"/>
        </w:rPr>
        <w:t xml:space="preserve">. </w:t>
      </w:r>
      <w:r w:rsidR="009B4547" w:rsidRPr="00FF5870">
        <w:rPr>
          <w:rFonts w:ascii="Verdana" w:hAnsi="Verdana"/>
          <w:sz w:val="20"/>
          <w:szCs w:val="20"/>
          <w:lang w:val="en-US"/>
        </w:rPr>
        <w:t>In this context the CSSF is empowered to require any useful information to fulfil its missions from management companies under its supervision, including of course the compliance with the complaints handling requirements.</w:t>
      </w:r>
    </w:p>
    <w:p w:rsidR="00007943" w:rsidRPr="00FF5870" w:rsidRDefault="00007943" w:rsidP="005C3738">
      <w:pPr>
        <w:jc w:val="both"/>
        <w:rPr>
          <w:rFonts w:ascii="Verdana" w:hAnsi="Verdana"/>
          <w:sz w:val="20"/>
          <w:szCs w:val="20"/>
        </w:rPr>
      </w:pPr>
      <w:r w:rsidRPr="00FF5870">
        <w:rPr>
          <w:rFonts w:ascii="Verdana" w:hAnsi="Verdana"/>
          <w:sz w:val="20"/>
          <w:szCs w:val="20"/>
        </w:rPr>
        <w:t xml:space="preserve">In addition, it must be noted that in many Member States, and in particular in Luxembourg, a specific regulatory text covers the organisation and functioning of the extra-judicial resolution of complaints as such. Regulation 13-02 of the CSSF details the procedure applicable to demands for extra-judicial resolution of complaints lodged with the </w:t>
      </w:r>
      <w:r w:rsidR="005C3738" w:rsidRPr="00FF5870">
        <w:rPr>
          <w:rFonts w:ascii="Verdana" w:hAnsi="Verdana"/>
          <w:sz w:val="20"/>
          <w:szCs w:val="20"/>
        </w:rPr>
        <w:t>supervisory authority</w:t>
      </w:r>
      <w:r w:rsidR="00214DE3" w:rsidRPr="00FF5870">
        <w:rPr>
          <w:rStyle w:val="FootnoteReference"/>
          <w:rFonts w:ascii="Verdana" w:hAnsi="Verdana"/>
          <w:sz w:val="20"/>
          <w:szCs w:val="20"/>
        </w:rPr>
        <w:footnoteReference w:id="1"/>
      </w:r>
      <w:r w:rsidRPr="00FF5870">
        <w:rPr>
          <w:rFonts w:ascii="Verdana" w:hAnsi="Verdana"/>
          <w:sz w:val="20"/>
          <w:szCs w:val="20"/>
        </w:rPr>
        <w:t>. This text applies to any request based on the law of 5 April 1993 on the financial sector, the Consumer Code, the law on payment services of 10 November 2009, the law of 17 December 2010 on undertakings for collective investment and the law of 13 July 2005 on pension funds. It also gives precisions as to the obligations of all professionals of the financial sector with regard to the treatment of complaints, and their cooperation with the CSSF with regard to the follow-up on these complaints as well. It must also be noted that on CSSF level a dedicated Financial Consumers Protection Committee has been set up.</w:t>
      </w:r>
    </w:p>
    <w:p w:rsidR="00E21CDB" w:rsidRDefault="00E21CDB">
      <w:pPr>
        <w:rPr>
          <w:rFonts w:ascii="Verdana" w:hAnsi="Verdana"/>
          <w:sz w:val="20"/>
          <w:szCs w:val="20"/>
          <w:lang w:eastAsia="de-DE"/>
        </w:rPr>
      </w:pPr>
      <w:r>
        <w:rPr>
          <w:rFonts w:ascii="Verdana" w:hAnsi="Verdana"/>
          <w:sz w:val="20"/>
          <w:szCs w:val="20"/>
        </w:rPr>
        <w:br w:type="page"/>
      </w:r>
    </w:p>
    <w:p w:rsidR="00007943" w:rsidRPr="00FF5870" w:rsidRDefault="00007943" w:rsidP="005C3738">
      <w:pPr>
        <w:pStyle w:val="NormalWeb"/>
        <w:jc w:val="both"/>
        <w:rPr>
          <w:rFonts w:ascii="Verdana" w:hAnsi="Verdana"/>
          <w:sz w:val="20"/>
          <w:szCs w:val="20"/>
          <w:lang w:val="en-GB"/>
        </w:rPr>
      </w:pPr>
    </w:p>
    <w:p w:rsidR="00E15A21" w:rsidRPr="00FF5870" w:rsidRDefault="00F67FD5" w:rsidP="005C3738">
      <w:pPr>
        <w:jc w:val="both"/>
        <w:rPr>
          <w:rFonts w:ascii="Verdana" w:hAnsi="Verdana"/>
          <w:b/>
          <w:sz w:val="20"/>
          <w:szCs w:val="20"/>
        </w:rPr>
      </w:pPr>
      <w:r w:rsidRPr="00FF5870">
        <w:rPr>
          <w:rFonts w:ascii="Verdana" w:hAnsi="Verdana"/>
          <w:b/>
          <w:sz w:val="20"/>
          <w:szCs w:val="20"/>
        </w:rPr>
        <w:t>Guideline 3 – Registration</w:t>
      </w:r>
    </w:p>
    <w:p w:rsidR="00E15A21" w:rsidRPr="00FF5870" w:rsidRDefault="00E15A21" w:rsidP="005C3738">
      <w:pPr>
        <w:jc w:val="both"/>
        <w:rPr>
          <w:rFonts w:ascii="Verdana" w:hAnsi="Verdana"/>
          <w:sz w:val="20"/>
          <w:szCs w:val="20"/>
          <w:u w:val="single"/>
        </w:rPr>
      </w:pPr>
    </w:p>
    <w:p w:rsidR="002A1C29" w:rsidRPr="00FF5870" w:rsidRDefault="0040001E" w:rsidP="005C3738">
      <w:pPr>
        <w:jc w:val="both"/>
        <w:rPr>
          <w:rFonts w:ascii="Verdana" w:hAnsi="Verdana"/>
          <w:sz w:val="20"/>
          <w:szCs w:val="20"/>
        </w:rPr>
      </w:pPr>
      <w:r w:rsidRPr="00FF5870">
        <w:rPr>
          <w:rFonts w:ascii="Verdana" w:hAnsi="Verdana"/>
          <w:sz w:val="20"/>
          <w:szCs w:val="20"/>
        </w:rPr>
        <w:t xml:space="preserve">This guideline </w:t>
      </w:r>
      <w:r w:rsidR="00E21CDB">
        <w:rPr>
          <w:rFonts w:ascii="Verdana" w:hAnsi="Verdana"/>
          <w:sz w:val="20"/>
          <w:szCs w:val="20"/>
        </w:rPr>
        <w:t>is becoming</w:t>
      </w:r>
      <w:r w:rsidRPr="00FF5870">
        <w:rPr>
          <w:rFonts w:ascii="Verdana" w:hAnsi="Verdana"/>
          <w:sz w:val="20"/>
          <w:szCs w:val="20"/>
        </w:rPr>
        <w:t xml:space="preserve"> practice in our view. </w:t>
      </w:r>
      <w:r w:rsidR="007D2CF5" w:rsidRPr="00FF5870">
        <w:rPr>
          <w:rFonts w:ascii="Verdana" w:hAnsi="Verdana"/>
          <w:sz w:val="20"/>
          <w:szCs w:val="20"/>
        </w:rPr>
        <w:t xml:space="preserve">In Luxembourg </w:t>
      </w:r>
      <w:r w:rsidR="008F401B" w:rsidRPr="00FF5870">
        <w:rPr>
          <w:rFonts w:ascii="Verdana" w:hAnsi="Verdana"/>
          <w:sz w:val="20"/>
          <w:szCs w:val="20"/>
        </w:rPr>
        <w:t xml:space="preserve">CSSF Regulation 13-2 foresees that financial services professionals (including fund management companies) must communicate on an annual basis to the supervisory authority a table listing the number of complaints registered (categorized according to the type of complaint) and a synthetic report of these complaints as well as measures taken for their handling. </w:t>
      </w:r>
    </w:p>
    <w:p w:rsidR="00F67FD5" w:rsidRPr="00FF5870" w:rsidRDefault="002A1C29" w:rsidP="005C3738">
      <w:pPr>
        <w:jc w:val="both"/>
        <w:rPr>
          <w:rFonts w:ascii="Verdana" w:hAnsi="Verdana"/>
          <w:sz w:val="20"/>
          <w:szCs w:val="20"/>
        </w:rPr>
      </w:pPr>
      <w:r w:rsidRPr="00FF5870">
        <w:rPr>
          <w:rFonts w:ascii="Verdana" w:hAnsi="Verdana"/>
          <w:sz w:val="20"/>
          <w:szCs w:val="20"/>
        </w:rPr>
        <w:t xml:space="preserve">Moreover </w:t>
      </w:r>
      <w:r w:rsidR="0089095B" w:rsidRPr="00FF5870">
        <w:rPr>
          <w:rFonts w:ascii="Verdana" w:hAnsi="Verdana"/>
          <w:sz w:val="20"/>
          <w:szCs w:val="20"/>
        </w:rPr>
        <w:t xml:space="preserve">Article 5.2.1.2. </w:t>
      </w:r>
      <w:r w:rsidR="00632D77" w:rsidRPr="00FF5870">
        <w:rPr>
          <w:rFonts w:ascii="Verdana" w:hAnsi="Verdana"/>
          <w:sz w:val="20"/>
          <w:szCs w:val="20"/>
        </w:rPr>
        <w:t xml:space="preserve">of CSSF Circular 12/546, referring to Regulation 10-4 which states that every management </w:t>
      </w:r>
      <w:r w:rsidR="00E15A21" w:rsidRPr="00FF5870">
        <w:rPr>
          <w:rFonts w:ascii="Verdana" w:hAnsi="Verdana"/>
          <w:sz w:val="20"/>
          <w:szCs w:val="20"/>
        </w:rPr>
        <w:t>c</w:t>
      </w:r>
      <w:r w:rsidR="00632D77" w:rsidRPr="00FF5870">
        <w:rPr>
          <w:rFonts w:ascii="Verdana" w:hAnsi="Verdana"/>
          <w:sz w:val="20"/>
          <w:szCs w:val="20"/>
        </w:rPr>
        <w:t>ompany must maintain in an adequate an</w:t>
      </w:r>
      <w:r w:rsidR="00E15A21" w:rsidRPr="00FF5870">
        <w:rPr>
          <w:rFonts w:ascii="Verdana" w:hAnsi="Verdana"/>
          <w:sz w:val="20"/>
          <w:szCs w:val="20"/>
        </w:rPr>
        <w:t>d</w:t>
      </w:r>
      <w:r w:rsidR="00632D77" w:rsidRPr="00FF5870">
        <w:rPr>
          <w:rFonts w:ascii="Verdana" w:hAnsi="Verdana"/>
          <w:sz w:val="20"/>
          <w:szCs w:val="20"/>
        </w:rPr>
        <w:t xml:space="preserve"> orderly manner records of its activities and its internal organisation, provides that ever</w:t>
      </w:r>
      <w:r w:rsidR="00E15A21" w:rsidRPr="00FF5870">
        <w:rPr>
          <w:rFonts w:ascii="Verdana" w:hAnsi="Verdana"/>
          <w:sz w:val="20"/>
          <w:szCs w:val="20"/>
        </w:rPr>
        <w:t>y</w:t>
      </w:r>
      <w:r w:rsidR="00632D77" w:rsidRPr="00FF5870">
        <w:rPr>
          <w:rFonts w:ascii="Verdana" w:hAnsi="Verdana"/>
          <w:sz w:val="20"/>
          <w:szCs w:val="20"/>
        </w:rPr>
        <w:t xml:space="preserve"> management company must put into place “management information” permitting the follow-up of its activity and that of its delegates. This management information must</w:t>
      </w:r>
      <w:r w:rsidR="00236066" w:rsidRPr="00FF5870">
        <w:rPr>
          <w:rFonts w:ascii="Verdana" w:hAnsi="Verdana"/>
          <w:sz w:val="20"/>
          <w:szCs w:val="20"/>
        </w:rPr>
        <w:t xml:space="preserve"> cover</w:t>
      </w:r>
      <w:r w:rsidR="00632D77" w:rsidRPr="00FF5870">
        <w:rPr>
          <w:rFonts w:ascii="Verdana" w:hAnsi="Verdana"/>
          <w:sz w:val="20"/>
          <w:szCs w:val="20"/>
        </w:rPr>
        <w:t>, among others, complaints. Such information must be available in Luxembourg and preferably kept in a central database accessible at any time in Luxembourg.</w:t>
      </w:r>
    </w:p>
    <w:p w:rsidR="00E15A21" w:rsidRPr="00FF5870" w:rsidRDefault="00E15A21" w:rsidP="005C3738">
      <w:pPr>
        <w:jc w:val="both"/>
        <w:rPr>
          <w:rFonts w:ascii="Verdana" w:hAnsi="Verdana"/>
          <w:sz w:val="20"/>
          <w:szCs w:val="20"/>
        </w:rPr>
      </w:pPr>
    </w:p>
    <w:p w:rsidR="001A1CDC" w:rsidRPr="00FF5870" w:rsidRDefault="001A1CDC" w:rsidP="005C3738">
      <w:pPr>
        <w:jc w:val="both"/>
        <w:rPr>
          <w:rFonts w:ascii="Verdana" w:hAnsi="Verdana"/>
          <w:sz w:val="20"/>
          <w:szCs w:val="20"/>
        </w:rPr>
      </w:pPr>
    </w:p>
    <w:p w:rsidR="00446087" w:rsidRPr="00AF699A" w:rsidRDefault="00DD1DA7" w:rsidP="005C3738">
      <w:pPr>
        <w:autoSpaceDE w:val="0"/>
        <w:autoSpaceDN w:val="0"/>
        <w:adjustRightInd w:val="0"/>
        <w:jc w:val="both"/>
        <w:rPr>
          <w:rFonts w:ascii="Verdana" w:hAnsi="Verdana"/>
          <w:b/>
          <w:sz w:val="20"/>
          <w:szCs w:val="20"/>
        </w:rPr>
      </w:pPr>
      <w:r w:rsidRPr="00AF699A">
        <w:rPr>
          <w:rFonts w:ascii="Verdana" w:hAnsi="Verdana"/>
          <w:sz w:val="20"/>
          <w:szCs w:val="20"/>
        </w:rPr>
        <w:t xml:space="preserve"> </w:t>
      </w:r>
      <w:r w:rsidR="00BF1E16" w:rsidRPr="00AF699A">
        <w:rPr>
          <w:rFonts w:ascii="Verdana" w:hAnsi="Verdana"/>
          <w:b/>
          <w:sz w:val="20"/>
          <w:szCs w:val="20"/>
        </w:rPr>
        <w:t xml:space="preserve">Guideline 4 </w:t>
      </w:r>
      <w:r w:rsidR="00236066" w:rsidRPr="00AF699A">
        <w:rPr>
          <w:rFonts w:ascii="Verdana" w:hAnsi="Verdana"/>
          <w:b/>
          <w:sz w:val="20"/>
          <w:szCs w:val="20"/>
        </w:rPr>
        <w:t>–</w:t>
      </w:r>
      <w:r w:rsidR="00BF1E16" w:rsidRPr="00AF699A">
        <w:rPr>
          <w:rFonts w:ascii="Verdana" w:hAnsi="Verdana"/>
          <w:b/>
          <w:sz w:val="20"/>
          <w:szCs w:val="20"/>
        </w:rPr>
        <w:t xml:space="preserve"> Reporting</w:t>
      </w:r>
    </w:p>
    <w:p w:rsidR="00236066" w:rsidRPr="00FF5870" w:rsidRDefault="00236066" w:rsidP="005C3738">
      <w:pPr>
        <w:autoSpaceDE w:val="0"/>
        <w:autoSpaceDN w:val="0"/>
        <w:adjustRightInd w:val="0"/>
        <w:jc w:val="both"/>
        <w:rPr>
          <w:rFonts w:ascii="Verdana" w:hAnsi="Verdana"/>
          <w:b/>
          <w:sz w:val="20"/>
          <w:szCs w:val="20"/>
          <w:u w:val="single"/>
        </w:rPr>
      </w:pPr>
    </w:p>
    <w:p w:rsidR="00AF699A" w:rsidRPr="00FF5870" w:rsidRDefault="007D2CF5" w:rsidP="00C858E5">
      <w:pPr>
        <w:autoSpaceDE w:val="0"/>
        <w:autoSpaceDN w:val="0"/>
        <w:adjustRightInd w:val="0"/>
        <w:jc w:val="both"/>
        <w:rPr>
          <w:rFonts w:ascii="Verdana" w:hAnsi="Verdana" w:cs="Arial"/>
          <w:color w:val="000000"/>
          <w:sz w:val="20"/>
          <w:szCs w:val="20"/>
          <w:lang w:val="en-US"/>
        </w:rPr>
      </w:pPr>
      <w:r w:rsidRPr="00FF5870">
        <w:rPr>
          <w:rFonts w:ascii="Verdana" w:hAnsi="Verdana"/>
          <w:sz w:val="20"/>
          <w:szCs w:val="20"/>
          <w:lang w:eastAsia="en-US"/>
        </w:rPr>
        <w:t>W</w:t>
      </w:r>
      <w:r w:rsidR="00A14CD8" w:rsidRPr="00FF5870">
        <w:rPr>
          <w:rFonts w:ascii="Verdana" w:hAnsi="Verdana"/>
          <w:sz w:val="20"/>
          <w:szCs w:val="20"/>
          <w:lang w:eastAsia="en-US"/>
        </w:rPr>
        <w:t xml:space="preserve">e are of the view </w:t>
      </w:r>
      <w:r w:rsidR="0040001E" w:rsidRPr="00FF5870">
        <w:rPr>
          <w:rFonts w:ascii="Verdana" w:hAnsi="Verdana"/>
          <w:sz w:val="20"/>
          <w:szCs w:val="20"/>
          <w:lang w:eastAsia="en-US"/>
        </w:rPr>
        <w:t xml:space="preserve">that this guideline is already </w:t>
      </w:r>
      <w:r w:rsidR="00B80291">
        <w:rPr>
          <w:rFonts w:ascii="Verdana" w:hAnsi="Verdana"/>
          <w:sz w:val="20"/>
          <w:szCs w:val="20"/>
          <w:lang w:eastAsia="en-US"/>
        </w:rPr>
        <w:t xml:space="preserve">widely </w:t>
      </w:r>
      <w:r w:rsidR="0040001E" w:rsidRPr="00FF5870">
        <w:rPr>
          <w:rFonts w:ascii="Verdana" w:hAnsi="Verdana"/>
          <w:sz w:val="20"/>
          <w:szCs w:val="20"/>
          <w:lang w:eastAsia="en-US"/>
        </w:rPr>
        <w:t>complied with in the fund industry. Every management company in Luxembourg must promote an internal culture of control and of risk aiming to ensure that all members of staff actively take part on the detection, declaration and control of risks incurred by the establishment. This includes risks related to complaints from investors.</w:t>
      </w:r>
      <w:r w:rsidR="00355ACA" w:rsidRPr="00FF5870">
        <w:rPr>
          <w:rFonts w:ascii="Verdana" w:hAnsi="Verdana"/>
          <w:sz w:val="20"/>
          <w:szCs w:val="20"/>
          <w:lang w:eastAsia="en-US"/>
        </w:rPr>
        <w:t xml:space="preserve"> </w:t>
      </w:r>
      <w:r w:rsidR="00AF699A">
        <w:rPr>
          <w:rFonts w:ascii="Verdana" w:hAnsi="Verdana"/>
          <w:sz w:val="20"/>
          <w:szCs w:val="20"/>
          <w:lang w:eastAsia="en-US"/>
        </w:rPr>
        <w:t>For clarification reasons we propose to add that the reporting to the competent authorities should be given upon request and not on a permanent reporting basis as the latter gives no added value.</w:t>
      </w:r>
    </w:p>
    <w:p w:rsidR="007F708C" w:rsidRPr="00FF5870" w:rsidRDefault="007F708C" w:rsidP="00E21CDB">
      <w:pPr>
        <w:autoSpaceDE w:val="0"/>
        <w:autoSpaceDN w:val="0"/>
        <w:adjustRightInd w:val="0"/>
        <w:jc w:val="both"/>
        <w:rPr>
          <w:rFonts w:ascii="Verdana" w:hAnsi="Verdana" w:cs="Arial"/>
          <w:color w:val="000000"/>
          <w:sz w:val="20"/>
          <w:szCs w:val="20"/>
          <w:lang w:val="en-US"/>
        </w:rPr>
      </w:pPr>
    </w:p>
    <w:p w:rsidR="00446087" w:rsidRPr="00FF5870" w:rsidRDefault="00446087" w:rsidP="00E21CDB">
      <w:pPr>
        <w:jc w:val="both"/>
        <w:rPr>
          <w:rFonts w:ascii="Verdana" w:hAnsi="Verdana"/>
          <w:sz w:val="20"/>
          <w:szCs w:val="20"/>
          <w:lang w:eastAsia="en-US"/>
        </w:rPr>
      </w:pPr>
    </w:p>
    <w:p w:rsidR="00446087" w:rsidRPr="00FF5870" w:rsidRDefault="00446087" w:rsidP="00E21CDB">
      <w:pPr>
        <w:jc w:val="both"/>
        <w:rPr>
          <w:rFonts w:ascii="Verdana" w:hAnsi="Verdana"/>
          <w:sz w:val="20"/>
          <w:szCs w:val="20"/>
          <w:lang w:eastAsia="en-US"/>
        </w:rPr>
      </w:pPr>
    </w:p>
    <w:p w:rsidR="00BA37A9" w:rsidRPr="00FF5870" w:rsidRDefault="00BA37A9" w:rsidP="00E21CDB">
      <w:pPr>
        <w:jc w:val="both"/>
        <w:rPr>
          <w:rFonts w:ascii="Verdana" w:hAnsi="Verdana"/>
          <w:b/>
          <w:sz w:val="20"/>
          <w:szCs w:val="20"/>
        </w:rPr>
      </w:pPr>
      <w:r w:rsidRPr="00FF5870">
        <w:rPr>
          <w:rFonts w:ascii="Verdana" w:hAnsi="Verdana"/>
          <w:b/>
          <w:sz w:val="20"/>
          <w:szCs w:val="20"/>
        </w:rPr>
        <w:t>Guideline 5 – Internal follow-up of complaints-handling</w:t>
      </w:r>
    </w:p>
    <w:p w:rsidR="002A1C29" w:rsidRPr="00FF5870" w:rsidRDefault="002A1C29" w:rsidP="00E21CDB">
      <w:pPr>
        <w:jc w:val="both"/>
        <w:rPr>
          <w:rFonts w:ascii="Verdana" w:hAnsi="Verdana"/>
          <w:sz w:val="20"/>
          <w:szCs w:val="20"/>
        </w:rPr>
      </w:pPr>
    </w:p>
    <w:p w:rsidR="002578FC" w:rsidRPr="00FF5870" w:rsidRDefault="00641E17" w:rsidP="00E21CDB">
      <w:pPr>
        <w:jc w:val="both"/>
        <w:rPr>
          <w:rFonts w:ascii="Verdana" w:hAnsi="Verdana"/>
          <w:sz w:val="20"/>
          <w:szCs w:val="20"/>
        </w:rPr>
      </w:pPr>
      <w:r w:rsidRPr="00FF5870">
        <w:rPr>
          <w:rFonts w:ascii="Verdana" w:hAnsi="Verdana"/>
          <w:sz w:val="20"/>
          <w:szCs w:val="20"/>
        </w:rPr>
        <w:t>UCITS management companies must have solid arrangements for internal governance which ensure the sound and prudent management of their activities and the risks inherent therein</w:t>
      </w:r>
      <w:r w:rsidR="00635551" w:rsidRPr="00FF5870">
        <w:rPr>
          <w:rFonts w:ascii="Verdana" w:hAnsi="Verdana"/>
          <w:sz w:val="20"/>
          <w:szCs w:val="20"/>
        </w:rPr>
        <w:t xml:space="preserve"> (</w:t>
      </w:r>
      <w:r w:rsidR="002A1C29" w:rsidRPr="00FF5870">
        <w:rPr>
          <w:rFonts w:ascii="Verdana" w:hAnsi="Verdana"/>
          <w:sz w:val="20"/>
          <w:szCs w:val="20"/>
        </w:rPr>
        <w:t>as provided for in CSSF</w:t>
      </w:r>
      <w:r w:rsidR="00635551" w:rsidRPr="00FF5870">
        <w:rPr>
          <w:rFonts w:ascii="Verdana" w:hAnsi="Verdana"/>
          <w:sz w:val="20"/>
          <w:szCs w:val="20"/>
        </w:rPr>
        <w:t xml:space="preserve"> Circular 12/546</w:t>
      </w:r>
      <w:r w:rsidR="00236066" w:rsidRPr="00FF5870">
        <w:rPr>
          <w:rFonts w:ascii="Verdana" w:hAnsi="Verdana"/>
          <w:sz w:val="20"/>
          <w:szCs w:val="20"/>
        </w:rPr>
        <w:t xml:space="preserve">- </w:t>
      </w:r>
      <w:r w:rsidR="00635551" w:rsidRPr="00FF5870">
        <w:rPr>
          <w:rFonts w:ascii="Verdana" w:hAnsi="Verdana"/>
          <w:sz w:val="20"/>
          <w:szCs w:val="20"/>
        </w:rPr>
        <w:t>article  5.2. and 5.2.4.1).</w:t>
      </w:r>
      <w:r w:rsidRPr="00FF5870">
        <w:rPr>
          <w:rFonts w:ascii="Verdana" w:hAnsi="Verdana"/>
          <w:sz w:val="20"/>
          <w:szCs w:val="20"/>
        </w:rPr>
        <w:t xml:space="preserve"> </w:t>
      </w:r>
      <w:r w:rsidR="00635551" w:rsidRPr="00FF5870">
        <w:rPr>
          <w:rFonts w:ascii="Verdana" w:hAnsi="Verdana"/>
          <w:sz w:val="20"/>
          <w:szCs w:val="20"/>
        </w:rPr>
        <w:t xml:space="preserve">This permanent risk function also covers legal and operational risks, </w:t>
      </w:r>
      <w:r w:rsidRPr="00FF5870">
        <w:rPr>
          <w:rFonts w:ascii="Verdana" w:hAnsi="Verdana"/>
          <w:sz w:val="20"/>
          <w:szCs w:val="20"/>
        </w:rPr>
        <w:t>including the risks related to investor complaints</w:t>
      </w:r>
      <w:r w:rsidR="00F70847" w:rsidRPr="00FF5870">
        <w:rPr>
          <w:rFonts w:ascii="Verdana" w:hAnsi="Verdana"/>
          <w:sz w:val="20"/>
          <w:szCs w:val="20"/>
        </w:rPr>
        <w:t>, as referred to in our response regarding guideline 5.</w:t>
      </w:r>
      <w:r w:rsidR="002A1C29" w:rsidRPr="00FF5870">
        <w:rPr>
          <w:rFonts w:ascii="Verdana" w:hAnsi="Verdana"/>
          <w:sz w:val="20"/>
          <w:szCs w:val="20"/>
        </w:rPr>
        <w:t xml:space="preserve"> The analysis of complaints data along the lines suggested in this guideline is </w:t>
      </w:r>
      <w:r w:rsidR="00B80291">
        <w:rPr>
          <w:rFonts w:ascii="Verdana" w:hAnsi="Verdana"/>
          <w:sz w:val="20"/>
          <w:szCs w:val="20"/>
        </w:rPr>
        <w:t xml:space="preserve">now </w:t>
      </w:r>
      <w:r w:rsidR="002A1C29" w:rsidRPr="00FF5870">
        <w:rPr>
          <w:rFonts w:ascii="Verdana" w:hAnsi="Verdana"/>
          <w:sz w:val="20"/>
          <w:szCs w:val="20"/>
        </w:rPr>
        <w:t xml:space="preserve">requested by the Luxembourg legislation (CSSF Regulation 13-2). </w:t>
      </w:r>
    </w:p>
    <w:p w:rsidR="00236066" w:rsidRDefault="00236066" w:rsidP="00E21CDB">
      <w:pPr>
        <w:jc w:val="both"/>
        <w:rPr>
          <w:rFonts w:ascii="Verdana" w:hAnsi="Verdana"/>
          <w:sz w:val="20"/>
          <w:szCs w:val="20"/>
        </w:rPr>
      </w:pPr>
    </w:p>
    <w:p w:rsidR="00B80291" w:rsidRPr="00FF5870" w:rsidRDefault="00B80291" w:rsidP="00E21CDB">
      <w:pPr>
        <w:jc w:val="both"/>
        <w:rPr>
          <w:rFonts w:ascii="Verdana" w:hAnsi="Verdana"/>
          <w:sz w:val="20"/>
          <w:szCs w:val="20"/>
        </w:rPr>
      </w:pPr>
    </w:p>
    <w:p w:rsidR="002578FC" w:rsidRPr="00FF5870" w:rsidRDefault="002578FC" w:rsidP="00E21CDB">
      <w:pPr>
        <w:jc w:val="both"/>
        <w:rPr>
          <w:rFonts w:ascii="Verdana" w:hAnsi="Verdana"/>
          <w:b/>
          <w:sz w:val="20"/>
          <w:szCs w:val="20"/>
        </w:rPr>
      </w:pPr>
      <w:r w:rsidRPr="00FF5870">
        <w:rPr>
          <w:rFonts w:ascii="Verdana" w:hAnsi="Verdana"/>
          <w:b/>
          <w:sz w:val="20"/>
          <w:szCs w:val="20"/>
        </w:rPr>
        <w:t>Guideline 6 – Provision of information</w:t>
      </w:r>
    </w:p>
    <w:p w:rsidR="002578FC" w:rsidRPr="00FF5870" w:rsidRDefault="002578FC" w:rsidP="00E21CDB">
      <w:pPr>
        <w:jc w:val="both"/>
        <w:rPr>
          <w:rFonts w:ascii="Verdana" w:hAnsi="Verdana"/>
          <w:sz w:val="20"/>
          <w:szCs w:val="20"/>
        </w:rPr>
      </w:pPr>
    </w:p>
    <w:p w:rsidR="002578FC" w:rsidRPr="00FF5870" w:rsidRDefault="002B35CA" w:rsidP="00E21CDB">
      <w:pPr>
        <w:pStyle w:val="ListParagraph"/>
        <w:ind w:left="0"/>
        <w:jc w:val="both"/>
        <w:rPr>
          <w:rFonts w:ascii="Verdana" w:hAnsi="Verdana"/>
          <w:sz w:val="20"/>
          <w:szCs w:val="20"/>
        </w:rPr>
      </w:pPr>
      <w:r w:rsidRPr="00FF5870">
        <w:rPr>
          <w:rFonts w:ascii="Verdana" w:hAnsi="Verdana"/>
          <w:sz w:val="20"/>
          <w:szCs w:val="20"/>
        </w:rPr>
        <w:t xml:space="preserve">As far as Luxembourg is concerned, the principles listed in guideline 6 are reflected in the regulatory framework (see </w:t>
      </w:r>
      <w:r w:rsidR="00C50ACC" w:rsidRPr="00FF5870">
        <w:rPr>
          <w:rFonts w:ascii="Verdana" w:hAnsi="Verdana"/>
          <w:sz w:val="20"/>
          <w:szCs w:val="20"/>
        </w:rPr>
        <w:t xml:space="preserve">in particular </w:t>
      </w:r>
      <w:r w:rsidRPr="00FF5870">
        <w:rPr>
          <w:rFonts w:ascii="Verdana" w:hAnsi="Verdana"/>
          <w:sz w:val="20"/>
          <w:szCs w:val="20"/>
        </w:rPr>
        <w:t>Article 15 of CSSF Regulation 13-02 mentioned above).</w:t>
      </w:r>
    </w:p>
    <w:p w:rsidR="002B35CA" w:rsidRPr="00FF5870" w:rsidRDefault="002B35CA" w:rsidP="00E21CDB">
      <w:pPr>
        <w:pStyle w:val="ListParagraph"/>
        <w:jc w:val="both"/>
        <w:rPr>
          <w:rFonts w:ascii="Verdana" w:hAnsi="Verdana"/>
          <w:sz w:val="20"/>
          <w:szCs w:val="20"/>
        </w:rPr>
      </w:pPr>
    </w:p>
    <w:p w:rsidR="008979BC" w:rsidRPr="00FF5870" w:rsidRDefault="002E4003" w:rsidP="00E21CDB">
      <w:pPr>
        <w:pStyle w:val="ListParagraph"/>
        <w:ind w:left="0"/>
        <w:jc w:val="both"/>
        <w:rPr>
          <w:rFonts w:ascii="Verdana" w:hAnsi="Verdana"/>
          <w:sz w:val="20"/>
          <w:szCs w:val="20"/>
        </w:rPr>
      </w:pPr>
      <w:r w:rsidRPr="00FF5870">
        <w:rPr>
          <w:rFonts w:ascii="Verdana" w:hAnsi="Verdana"/>
          <w:sz w:val="20"/>
          <w:szCs w:val="20"/>
        </w:rPr>
        <w:t>Mor</w:t>
      </w:r>
      <w:r w:rsidR="00236066" w:rsidRPr="00FF5870">
        <w:rPr>
          <w:rFonts w:ascii="Verdana" w:hAnsi="Verdana"/>
          <w:sz w:val="20"/>
          <w:szCs w:val="20"/>
        </w:rPr>
        <w:t>e</w:t>
      </w:r>
      <w:r w:rsidR="001A1CDC" w:rsidRPr="00FF5870">
        <w:rPr>
          <w:rFonts w:ascii="Verdana" w:hAnsi="Verdana"/>
          <w:sz w:val="20"/>
          <w:szCs w:val="20"/>
        </w:rPr>
        <w:t>o</w:t>
      </w:r>
      <w:r w:rsidR="002A1C29" w:rsidRPr="00FF5870">
        <w:rPr>
          <w:rFonts w:ascii="Verdana" w:hAnsi="Verdana"/>
          <w:sz w:val="20"/>
          <w:szCs w:val="20"/>
        </w:rPr>
        <w:t>v</w:t>
      </w:r>
      <w:r w:rsidRPr="00FF5870">
        <w:rPr>
          <w:rFonts w:ascii="Verdana" w:hAnsi="Verdana"/>
          <w:sz w:val="20"/>
          <w:szCs w:val="20"/>
        </w:rPr>
        <w:t>er m</w:t>
      </w:r>
      <w:r w:rsidR="008979BC" w:rsidRPr="00FF5870">
        <w:rPr>
          <w:rFonts w:ascii="Verdana" w:hAnsi="Verdana"/>
          <w:sz w:val="20"/>
          <w:szCs w:val="20"/>
        </w:rPr>
        <w:t>ost management companies’ websites already publish details on their complaints-handling process</w:t>
      </w:r>
      <w:r w:rsidRPr="00FF5870">
        <w:rPr>
          <w:rFonts w:ascii="Verdana" w:hAnsi="Verdana"/>
          <w:sz w:val="20"/>
          <w:szCs w:val="20"/>
        </w:rPr>
        <w:t>.</w:t>
      </w:r>
      <w:r w:rsidR="002A1C29" w:rsidRPr="00FF5870">
        <w:rPr>
          <w:rFonts w:ascii="Verdana" w:hAnsi="Verdana"/>
          <w:sz w:val="20"/>
          <w:szCs w:val="20"/>
        </w:rPr>
        <w:t xml:space="preserve"> </w:t>
      </w:r>
      <w:r w:rsidR="00C30564" w:rsidRPr="00FF5870">
        <w:rPr>
          <w:rFonts w:ascii="Verdana" w:hAnsi="Verdana"/>
          <w:sz w:val="20"/>
          <w:szCs w:val="20"/>
        </w:rPr>
        <w:t>Information on the mechanism of a</w:t>
      </w:r>
      <w:r w:rsidR="008979BC" w:rsidRPr="00FF5870">
        <w:rPr>
          <w:rFonts w:ascii="Verdana" w:hAnsi="Verdana"/>
          <w:sz w:val="20"/>
          <w:szCs w:val="20"/>
        </w:rPr>
        <w:t xml:space="preserve">lternative dispute resolution is also displayed since required by </w:t>
      </w:r>
      <w:r w:rsidR="00B80291">
        <w:rPr>
          <w:rFonts w:ascii="Verdana" w:hAnsi="Verdana"/>
          <w:sz w:val="20"/>
          <w:szCs w:val="20"/>
        </w:rPr>
        <w:t>R</w:t>
      </w:r>
      <w:r w:rsidR="008979BC" w:rsidRPr="00FF5870">
        <w:rPr>
          <w:rFonts w:ascii="Verdana" w:hAnsi="Verdana"/>
          <w:sz w:val="20"/>
          <w:szCs w:val="20"/>
        </w:rPr>
        <w:t xml:space="preserve">egulation 13-02. </w:t>
      </w:r>
    </w:p>
    <w:p w:rsidR="002A1C29" w:rsidRPr="00FF5870" w:rsidRDefault="002A1C29" w:rsidP="00E21CDB">
      <w:pPr>
        <w:pStyle w:val="ListParagraph"/>
        <w:ind w:left="0"/>
        <w:jc w:val="both"/>
        <w:rPr>
          <w:rFonts w:ascii="Verdana" w:hAnsi="Verdana"/>
          <w:sz w:val="20"/>
          <w:szCs w:val="20"/>
        </w:rPr>
      </w:pPr>
    </w:p>
    <w:p w:rsidR="002A1C29" w:rsidRPr="00FF5870" w:rsidRDefault="002A1C29" w:rsidP="00E21CDB">
      <w:pPr>
        <w:pStyle w:val="ListParagraph"/>
        <w:ind w:left="0"/>
        <w:jc w:val="both"/>
        <w:rPr>
          <w:rFonts w:ascii="Verdana" w:hAnsi="Verdana"/>
          <w:sz w:val="20"/>
          <w:szCs w:val="20"/>
        </w:rPr>
      </w:pPr>
    </w:p>
    <w:p w:rsidR="008979BC" w:rsidRPr="00FF5870" w:rsidRDefault="008979BC" w:rsidP="00E21CDB">
      <w:pPr>
        <w:jc w:val="both"/>
        <w:rPr>
          <w:rFonts w:ascii="Verdana" w:hAnsi="Verdana"/>
          <w:b/>
          <w:sz w:val="20"/>
          <w:szCs w:val="20"/>
        </w:rPr>
      </w:pPr>
      <w:r w:rsidRPr="00FF5870">
        <w:rPr>
          <w:rFonts w:ascii="Verdana" w:hAnsi="Verdana"/>
          <w:b/>
          <w:sz w:val="20"/>
          <w:szCs w:val="20"/>
        </w:rPr>
        <w:t>Guideline 7 – Procedures for responding to complaints</w:t>
      </w:r>
    </w:p>
    <w:p w:rsidR="008979BC" w:rsidRPr="00FF5870" w:rsidRDefault="008979BC" w:rsidP="00E21CDB">
      <w:pPr>
        <w:jc w:val="both"/>
        <w:rPr>
          <w:rFonts w:ascii="Verdana" w:hAnsi="Verdana"/>
          <w:sz w:val="20"/>
          <w:szCs w:val="20"/>
        </w:rPr>
      </w:pPr>
    </w:p>
    <w:p w:rsidR="00E21CDB" w:rsidRDefault="003F07C8">
      <w:pPr>
        <w:rPr>
          <w:rFonts w:ascii="Verdana" w:hAnsi="Verdana"/>
          <w:sz w:val="20"/>
          <w:szCs w:val="20"/>
        </w:rPr>
      </w:pPr>
      <w:r w:rsidRPr="00FF5870">
        <w:rPr>
          <w:rFonts w:ascii="Verdana" w:hAnsi="Verdana"/>
          <w:sz w:val="20"/>
          <w:szCs w:val="20"/>
        </w:rPr>
        <w:t>The fund industry is aligned to the principles outlined in guideline 7. As for the provision of information, CSSF Regulation 13-02 has imposed the same rules regarding the procedures for responding to complaints.</w:t>
      </w:r>
    </w:p>
    <w:p w:rsidR="0031144F" w:rsidRPr="00FF5870" w:rsidRDefault="0031144F" w:rsidP="00E21CDB">
      <w:pPr>
        <w:jc w:val="both"/>
        <w:rPr>
          <w:rFonts w:ascii="Verdana" w:hAnsi="Verdana"/>
          <w:sz w:val="20"/>
          <w:szCs w:val="20"/>
        </w:rPr>
      </w:pPr>
    </w:p>
    <w:p w:rsidR="0031144F" w:rsidRPr="00FF5870" w:rsidRDefault="0031144F" w:rsidP="00E21CDB">
      <w:pPr>
        <w:jc w:val="both"/>
        <w:rPr>
          <w:rFonts w:ascii="Verdana" w:hAnsi="Verdana"/>
          <w:sz w:val="20"/>
          <w:szCs w:val="20"/>
        </w:rPr>
      </w:pPr>
      <w:r w:rsidRPr="00FF5870">
        <w:rPr>
          <w:rFonts w:ascii="Verdana" w:hAnsi="Verdana"/>
          <w:b/>
          <w:sz w:val="20"/>
          <w:szCs w:val="20"/>
        </w:rPr>
        <w:t>Conclusion</w:t>
      </w:r>
      <w:r w:rsidRPr="00FF5870">
        <w:rPr>
          <w:rFonts w:ascii="Verdana" w:hAnsi="Verdana"/>
          <w:sz w:val="20"/>
          <w:szCs w:val="20"/>
        </w:rPr>
        <w:t>:</w:t>
      </w:r>
    </w:p>
    <w:p w:rsidR="0031144F" w:rsidRPr="00FF5870" w:rsidRDefault="0031144F" w:rsidP="00E21CDB">
      <w:pPr>
        <w:jc w:val="both"/>
        <w:rPr>
          <w:rFonts w:ascii="Verdana" w:hAnsi="Verdana"/>
          <w:sz w:val="20"/>
          <w:szCs w:val="20"/>
        </w:rPr>
      </w:pPr>
    </w:p>
    <w:p w:rsidR="001E02D9" w:rsidRPr="00FF5870" w:rsidRDefault="001E02D9" w:rsidP="00E21CDB">
      <w:pPr>
        <w:jc w:val="both"/>
        <w:rPr>
          <w:rFonts w:ascii="Verdana" w:hAnsi="Verdana"/>
          <w:sz w:val="20"/>
          <w:szCs w:val="20"/>
        </w:rPr>
      </w:pPr>
      <w:r w:rsidRPr="00FF5870">
        <w:rPr>
          <w:rFonts w:ascii="Verdana" w:hAnsi="Verdana"/>
          <w:sz w:val="20"/>
          <w:szCs w:val="20"/>
        </w:rPr>
        <w:t>ALFI supports the proposed guidelines, whi</w:t>
      </w:r>
      <w:r w:rsidR="00362202" w:rsidRPr="00FF5870">
        <w:rPr>
          <w:rFonts w:ascii="Verdana" w:hAnsi="Verdana"/>
          <w:sz w:val="20"/>
          <w:szCs w:val="20"/>
        </w:rPr>
        <w:t>ch should not represent additional compliance costs for most of the fund industry’s players who are already broadly in line with the suggested rules. The guidelines should ensure a harmonisation of complaints-handling practices across the EU financial sector to the benefit of investors.</w:t>
      </w:r>
    </w:p>
    <w:p w:rsidR="0031144F" w:rsidRPr="00FF5870" w:rsidRDefault="0031144F" w:rsidP="00E21CDB">
      <w:pPr>
        <w:jc w:val="both"/>
        <w:rPr>
          <w:rFonts w:ascii="Verdana" w:hAnsi="Verdana"/>
          <w:sz w:val="20"/>
          <w:szCs w:val="20"/>
        </w:rPr>
      </w:pPr>
    </w:p>
    <w:p w:rsidR="004B13FD" w:rsidRPr="00FF5870" w:rsidRDefault="004B13FD" w:rsidP="00E21CDB">
      <w:pPr>
        <w:jc w:val="both"/>
        <w:rPr>
          <w:rFonts w:ascii="Verdana" w:hAnsi="Verdana"/>
          <w:sz w:val="20"/>
          <w:szCs w:val="20"/>
        </w:rPr>
      </w:pPr>
    </w:p>
    <w:p w:rsidR="008979BC" w:rsidRPr="00FF5870" w:rsidRDefault="008979BC" w:rsidP="00E21CDB">
      <w:pPr>
        <w:jc w:val="both"/>
        <w:rPr>
          <w:rFonts w:ascii="Verdana" w:hAnsi="Verdana"/>
          <w:sz w:val="20"/>
          <w:szCs w:val="20"/>
        </w:rPr>
      </w:pPr>
    </w:p>
    <w:sectPr w:rsidR="008979BC" w:rsidRPr="00FF5870">
      <w:footerReference w:type="even" r:id="rId10"/>
      <w:footerReference w:type="default" r:id="rId11"/>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D0" w:rsidRDefault="000C2CD0">
      <w:r>
        <w:separator/>
      </w:r>
    </w:p>
  </w:endnote>
  <w:endnote w:type="continuationSeparator" w:id="0">
    <w:p w:rsidR="000C2CD0" w:rsidRDefault="000C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63" w:rsidRDefault="00C84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C63" w:rsidRDefault="00C84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63" w:rsidRDefault="00C84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34CC">
      <w:rPr>
        <w:rStyle w:val="PageNumber"/>
        <w:noProof/>
      </w:rPr>
      <w:t>2</w:t>
    </w:r>
    <w:r>
      <w:rPr>
        <w:rStyle w:val="PageNumber"/>
      </w:rPr>
      <w:fldChar w:fldCharType="end"/>
    </w:r>
  </w:p>
  <w:p w:rsidR="00C84C63" w:rsidRDefault="00C84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D0" w:rsidRDefault="000C2CD0">
      <w:r>
        <w:separator/>
      </w:r>
    </w:p>
  </w:footnote>
  <w:footnote w:type="continuationSeparator" w:id="0">
    <w:p w:rsidR="000C2CD0" w:rsidRDefault="000C2CD0">
      <w:r>
        <w:continuationSeparator/>
      </w:r>
    </w:p>
  </w:footnote>
  <w:footnote w:id="1">
    <w:p w:rsidR="00214DE3" w:rsidRPr="00FF5870" w:rsidRDefault="00214DE3">
      <w:pPr>
        <w:pStyle w:val="FootnoteText"/>
        <w:rPr>
          <w:rFonts w:ascii="Verdana" w:hAnsi="Verdana" w:cs="Arial"/>
          <w:sz w:val="16"/>
          <w:szCs w:val="16"/>
          <w:lang w:val="en-US"/>
        </w:rPr>
      </w:pPr>
      <w:r w:rsidRPr="00FF5870">
        <w:rPr>
          <w:rStyle w:val="FootnoteReference"/>
          <w:rFonts w:ascii="Verdana" w:hAnsi="Verdana" w:cs="Arial"/>
          <w:sz w:val="16"/>
          <w:szCs w:val="16"/>
        </w:rPr>
        <w:footnoteRef/>
      </w:r>
      <w:r w:rsidRPr="00FF5870">
        <w:rPr>
          <w:rFonts w:ascii="Verdana" w:hAnsi="Verdana" w:cs="Arial"/>
          <w:sz w:val="16"/>
          <w:szCs w:val="16"/>
        </w:rPr>
        <w:t xml:space="preserve"> </w:t>
      </w:r>
      <w:r w:rsidRPr="00FF5870">
        <w:rPr>
          <w:rFonts w:ascii="Verdana" w:hAnsi="Verdana" w:cs="Arial"/>
          <w:sz w:val="16"/>
          <w:szCs w:val="16"/>
          <w:lang w:val="en-US"/>
        </w:rPr>
        <w:t>CSSF Regulation 13-2 published in Mémorial A (Official Gazette), N°187 of 28 October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4B8AF02"/>
    <w:lvl w:ilvl="0">
      <w:start w:val="1"/>
      <w:numFmt w:val="bullet"/>
      <w:lvlText w:val=""/>
      <w:lvlJc w:val="left"/>
      <w:pPr>
        <w:tabs>
          <w:tab w:val="num" w:pos="643"/>
        </w:tabs>
        <w:ind w:left="643" w:hanging="360"/>
      </w:pPr>
      <w:rPr>
        <w:rFonts w:ascii="Symbol" w:hAnsi="Symbol" w:hint="default"/>
      </w:rPr>
    </w:lvl>
  </w:abstractNum>
  <w:abstractNum w:abstractNumId="1">
    <w:nsid w:val="18A11C8C"/>
    <w:multiLevelType w:val="hybridMultilevel"/>
    <w:tmpl w:val="B6E86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EF58D3"/>
    <w:multiLevelType w:val="hybridMultilevel"/>
    <w:tmpl w:val="95F2065C"/>
    <w:lvl w:ilvl="0" w:tplc="F7865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nsid w:val="300C6A55"/>
    <w:multiLevelType w:val="hybridMultilevel"/>
    <w:tmpl w:val="926CE7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CCD3E44"/>
    <w:multiLevelType w:val="multilevel"/>
    <w:tmpl w:val="1F08C8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3D9002E6"/>
    <w:multiLevelType w:val="hybridMultilevel"/>
    <w:tmpl w:val="F60E3B28"/>
    <w:lvl w:ilvl="0" w:tplc="04070001">
      <w:start w:val="1"/>
      <w:numFmt w:val="bullet"/>
      <w:lvlText w:val=""/>
      <w:lvlJc w:val="left"/>
      <w:pPr>
        <w:ind w:left="720" w:hanging="360"/>
      </w:pPr>
      <w:rPr>
        <w:rFonts w:ascii="Symbol" w:hAnsi="Symbol" w:hint="default"/>
      </w:rPr>
    </w:lvl>
    <w:lvl w:ilvl="1" w:tplc="220EB47E">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E7C5ABA"/>
    <w:multiLevelType w:val="hybridMultilevel"/>
    <w:tmpl w:val="C6E60F4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8">
    <w:nsid w:val="789F32B6"/>
    <w:multiLevelType w:val="hybridMultilevel"/>
    <w:tmpl w:val="E486A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5"/>
  </w:num>
  <w:num w:numId="7">
    <w:abstractNumId w:val="1"/>
  </w:num>
  <w:num w:numId="8">
    <w:abstractNumId w:val="7"/>
  </w:num>
  <w:num w:numId="9">
    <w:abstractNumId w:val="6"/>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visionView w:markup="0"/>
  <w:trackRevision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657"/>
    <w:rsid w:val="00007943"/>
    <w:rsid w:val="00023C70"/>
    <w:rsid w:val="00026967"/>
    <w:rsid w:val="00033A35"/>
    <w:rsid w:val="00043619"/>
    <w:rsid w:val="0004543C"/>
    <w:rsid w:val="000465D3"/>
    <w:rsid w:val="000602E5"/>
    <w:rsid w:val="00064044"/>
    <w:rsid w:val="00083278"/>
    <w:rsid w:val="0009281A"/>
    <w:rsid w:val="00095111"/>
    <w:rsid w:val="000A40C2"/>
    <w:rsid w:val="000B10CA"/>
    <w:rsid w:val="000B54CD"/>
    <w:rsid w:val="000C2CD0"/>
    <w:rsid w:val="000E2A5F"/>
    <w:rsid w:val="000E4A4D"/>
    <w:rsid w:val="000F0DC0"/>
    <w:rsid w:val="00100DBB"/>
    <w:rsid w:val="00106601"/>
    <w:rsid w:val="00112EF5"/>
    <w:rsid w:val="00125A45"/>
    <w:rsid w:val="00125C34"/>
    <w:rsid w:val="001329B8"/>
    <w:rsid w:val="001527E3"/>
    <w:rsid w:val="00157546"/>
    <w:rsid w:val="00165A85"/>
    <w:rsid w:val="001714DF"/>
    <w:rsid w:val="00176394"/>
    <w:rsid w:val="00183861"/>
    <w:rsid w:val="001A0016"/>
    <w:rsid w:val="001A1CDC"/>
    <w:rsid w:val="001A66D6"/>
    <w:rsid w:val="001B0CC5"/>
    <w:rsid w:val="001C4B5E"/>
    <w:rsid w:val="001C6BC0"/>
    <w:rsid w:val="001D2D86"/>
    <w:rsid w:val="001D4867"/>
    <w:rsid w:val="001E02D9"/>
    <w:rsid w:val="001E68C9"/>
    <w:rsid w:val="001F3C36"/>
    <w:rsid w:val="00201109"/>
    <w:rsid w:val="00201BA8"/>
    <w:rsid w:val="00202304"/>
    <w:rsid w:val="00205D72"/>
    <w:rsid w:val="00214DE3"/>
    <w:rsid w:val="00216496"/>
    <w:rsid w:val="00233F4B"/>
    <w:rsid w:val="00236066"/>
    <w:rsid w:val="00253989"/>
    <w:rsid w:val="002578FC"/>
    <w:rsid w:val="00266B8F"/>
    <w:rsid w:val="002933DC"/>
    <w:rsid w:val="002A0AA4"/>
    <w:rsid w:val="002A1C29"/>
    <w:rsid w:val="002A410F"/>
    <w:rsid w:val="002B2C7C"/>
    <w:rsid w:val="002B35CA"/>
    <w:rsid w:val="002B5804"/>
    <w:rsid w:val="002B6048"/>
    <w:rsid w:val="002C2752"/>
    <w:rsid w:val="002C5CD1"/>
    <w:rsid w:val="002C6430"/>
    <w:rsid w:val="002D025E"/>
    <w:rsid w:val="002D0B4E"/>
    <w:rsid w:val="002E4003"/>
    <w:rsid w:val="003049E2"/>
    <w:rsid w:val="0030520F"/>
    <w:rsid w:val="00306F60"/>
    <w:rsid w:val="0031144F"/>
    <w:rsid w:val="0031732F"/>
    <w:rsid w:val="003307DB"/>
    <w:rsid w:val="00336F2E"/>
    <w:rsid w:val="00345ED5"/>
    <w:rsid w:val="00355ACA"/>
    <w:rsid w:val="00362202"/>
    <w:rsid w:val="00371064"/>
    <w:rsid w:val="00374657"/>
    <w:rsid w:val="0038271F"/>
    <w:rsid w:val="0038418B"/>
    <w:rsid w:val="003932DB"/>
    <w:rsid w:val="003A390B"/>
    <w:rsid w:val="003D4E5C"/>
    <w:rsid w:val="003D6447"/>
    <w:rsid w:val="003F07C8"/>
    <w:rsid w:val="0040001E"/>
    <w:rsid w:val="00400E38"/>
    <w:rsid w:val="00403228"/>
    <w:rsid w:val="004066CF"/>
    <w:rsid w:val="00413475"/>
    <w:rsid w:val="0042199F"/>
    <w:rsid w:val="00430591"/>
    <w:rsid w:val="004420A7"/>
    <w:rsid w:val="00446087"/>
    <w:rsid w:val="004509D4"/>
    <w:rsid w:val="004548F5"/>
    <w:rsid w:val="004725E8"/>
    <w:rsid w:val="00476346"/>
    <w:rsid w:val="004821A4"/>
    <w:rsid w:val="0048226B"/>
    <w:rsid w:val="00492E09"/>
    <w:rsid w:val="004A02D3"/>
    <w:rsid w:val="004A6F03"/>
    <w:rsid w:val="004A76A6"/>
    <w:rsid w:val="004B13FD"/>
    <w:rsid w:val="004B1787"/>
    <w:rsid w:val="004B4A57"/>
    <w:rsid w:val="004C1DC8"/>
    <w:rsid w:val="004C7D60"/>
    <w:rsid w:val="004D6307"/>
    <w:rsid w:val="004E0DE7"/>
    <w:rsid w:val="004E6AB6"/>
    <w:rsid w:val="004E7008"/>
    <w:rsid w:val="004F6230"/>
    <w:rsid w:val="004F6B7C"/>
    <w:rsid w:val="005031CF"/>
    <w:rsid w:val="0051721B"/>
    <w:rsid w:val="00541047"/>
    <w:rsid w:val="005424F0"/>
    <w:rsid w:val="00543E12"/>
    <w:rsid w:val="00545BB9"/>
    <w:rsid w:val="005477E2"/>
    <w:rsid w:val="00555BA3"/>
    <w:rsid w:val="00557F40"/>
    <w:rsid w:val="00560F16"/>
    <w:rsid w:val="00572CD0"/>
    <w:rsid w:val="00577F33"/>
    <w:rsid w:val="00590554"/>
    <w:rsid w:val="00591DC2"/>
    <w:rsid w:val="005B43FA"/>
    <w:rsid w:val="005C34F4"/>
    <w:rsid w:val="005C3738"/>
    <w:rsid w:val="005D20AC"/>
    <w:rsid w:val="005D258B"/>
    <w:rsid w:val="005D382E"/>
    <w:rsid w:val="005E063B"/>
    <w:rsid w:val="005E76F8"/>
    <w:rsid w:val="006074F5"/>
    <w:rsid w:val="00610594"/>
    <w:rsid w:val="00622CD1"/>
    <w:rsid w:val="00630A2C"/>
    <w:rsid w:val="006328B7"/>
    <w:rsid w:val="00632D77"/>
    <w:rsid w:val="00635551"/>
    <w:rsid w:val="0063692F"/>
    <w:rsid w:val="0064081E"/>
    <w:rsid w:val="006408DB"/>
    <w:rsid w:val="00641E17"/>
    <w:rsid w:val="00645282"/>
    <w:rsid w:val="00645D07"/>
    <w:rsid w:val="00647064"/>
    <w:rsid w:val="006559A5"/>
    <w:rsid w:val="00657E63"/>
    <w:rsid w:val="006705D6"/>
    <w:rsid w:val="00671057"/>
    <w:rsid w:val="006953CD"/>
    <w:rsid w:val="006A426C"/>
    <w:rsid w:val="006B00EA"/>
    <w:rsid w:val="006B7856"/>
    <w:rsid w:val="006C0A10"/>
    <w:rsid w:val="006C7A34"/>
    <w:rsid w:val="006D6AE7"/>
    <w:rsid w:val="006E3CAE"/>
    <w:rsid w:val="00707613"/>
    <w:rsid w:val="00710BBA"/>
    <w:rsid w:val="00713549"/>
    <w:rsid w:val="00717502"/>
    <w:rsid w:val="00722105"/>
    <w:rsid w:val="00724377"/>
    <w:rsid w:val="0072786A"/>
    <w:rsid w:val="0073052D"/>
    <w:rsid w:val="00732526"/>
    <w:rsid w:val="0073320A"/>
    <w:rsid w:val="007334CC"/>
    <w:rsid w:val="0073560C"/>
    <w:rsid w:val="0074297A"/>
    <w:rsid w:val="00752FE3"/>
    <w:rsid w:val="007618C4"/>
    <w:rsid w:val="00764C3A"/>
    <w:rsid w:val="00773FC7"/>
    <w:rsid w:val="0077445E"/>
    <w:rsid w:val="00785E82"/>
    <w:rsid w:val="007A12E9"/>
    <w:rsid w:val="007A2865"/>
    <w:rsid w:val="007A2FB9"/>
    <w:rsid w:val="007B37BD"/>
    <w:rsid w:val="007C6685"/>
    <w:rsid w:val="007D2CF5"/>
    <w:rsid w:val="007E12F2"/>
    <w:rsid w:val="007E4D69"/>
    <w:rsid w:val="007E4DCA"/>
    <w:rsid w:val="007F6403"/>
    <w:rsid w:val="007F708C"/>
    <w:rsid w:val="0081157A"/>
    <w:rsid w:val="00823622"/>
    <w:rsid w:val="00840B76"/>
    <w:rsid w:val="0085681E"/>
    <w:rsid w:val="00862DF8"/>
    <w:rsid w:val="00866AD8"/>
    <w:rsid w:val="00870878"/>
    <w:rsid w:val="00870C62"/>
    <w:rsid w:val="008716E0"/>
    <w:rsid w:val="0087716E"/>
    <w:rsid w:val="00883076"/>
    <w:rsid w:val="00883343"/>
    <w:rsid w:val="00883D12"/>
    <w:rsid w:val="0089095B"/>
    <w:rsid w:val="00894BFF"/>
    <w:rsid w:val="008979BC"/>
    <w:rsid w:val="008979F0"/>
    <w:rsid w:val="008A3EBF"/>
    <w:rsid w:val="008A699A"/>
    <w:rsid w:val="008C30E0"/>
    <w:rsid w:val="008C58D0"/>
    <w:rsid w:val="008D00EC"/>
    <w:rsid w:val="008D5879"/>
    <w:rsid w:val="008E3D04"/>
    <w:rsid w:val="008F401B"/>
    <w:rsid w:val="008F687E"/>
    <w:rsid w:val="008F7545"/>
    <w:rsid w:val="009133FE"/>
    <w:rsid w:val="009203C3"/>
    <w:rsid w:val="009224FE"/>
    <w:rsid w:val="00923EF2"/>
    <w:rsid w:val="0093140F"/>
    <w:rsid w:val="00943E78"/>
    <w:rsid w:val="00945886"/>
    <w:rsid w:val="00946C54"/>
    <w:rsid w:val="00950294"/>
    <w:rsid w:val="0095386B"/>
    <w:rsid w:val="00967297"/>
    <w:rsid w:val="009713BF"/>
    <w:rsid w:val="00977BA2"/>
    <w:rsid w:val="00982A87"/>
    <w:rsid w:val="00983E36"/>
    <w:rsid w:val="00985255"/>
    <w:rsid w:val="0099794A"/>
    <w:rsid w:val="009A186B"/>
    <w:rsid w:val="009A3ACE"/>
    <w:rsid w:val="009A6F43"/>
    <w:rsid w:val="009B3FFA"/>
    <w:rsid w:val="009B4547"/>
    <w:rsid w:val="009B508E"/>
    <w:rsid w:val="009B69B5"/>
    <w:rsid w:val="009C5B88"/>
    <w:rsid w:val="009C6412"/>
    <w:rsid w:val="009D45BE"/>
    <w:rsid w:val="009D57C0"/>
    <w:rsid w:val="009E2B28"/>
    <w:rsid w:val="009F3C2F"/>
    <w:rsid w:val="00A0737A"/>
    <w:rsid w:val="00A14CD8"/>
    <w:rsid w:val="00A252DA"/>
    <w:rsid w:val="00A3044D"/>
    <w:rsid w:val="00A34A2B"/>
    <w:rsid w:val="00A40F3E"/>
    <w:rsid w:val="00A450B6"/>
    <w:rsid w:val="00A51A46"/>
    <w:rsid w:val="00A52127"/>
    <w:rsid w:val="00A74321"/>
    <w:rsid w:val="00A86B46"/>
    <w:rsid w:val="00A90B07"/>
    <w:rsid w:val="00AA6154"/>
    <w:rsid w:val="00AA76D4"/>
    <w:rsid w:val="00AA793D"/>
    <w:rsid w:val="00AB2232"/>
    <w:rsid w:val="00AB59E4"/>
    <w:rsid w:val="00AB6F07"/>
    <w:rsid w:val="00AC101E"/>
    <w:rsid w:val="00AC32DE"/>
    <w:rsid w:val="00AC4CC3"/>
    <w:rsid w:val="00AD770D"/>
    <w:rsid w:val="00AF2C4F"/>
    <w:rsid w:val="00AF39FC"/>
    <w:rsid w:val="00AF480C"/>
    <w:rsid w:val="00AF699A"/>
    <w:rsid w:val="00B04A42"/>
    <w:rsid w:val="00B42F9F"/>
    <w:rsid w:val="00B46D30"/>
    <w:rsid w:val="00B50BF0"/>
    <w:rsid w:val="00B62147"/>
    <w:rsid w:val="00B706F7"/>
    <w:rsid w:val="00B72D4D"/>
    <w:rsid w:val="00B770EC"/>
    <w:rsid w:val="00B80291"/>
    <w:rsid w:val="00B80A07"/>
    <w:rsid w:val="00B90BAF"/>
    <w:rsid w:val="00B92993"/>
    <w:rsid w:val="00B937D6"/>
    <w:rsid w:val="00B96ED2"/>
    <w:rsid w:val="00B96FC2"/>
    <w:rsid w:val="00BA37A9"/>
    <w:rsid w:val="00BA66B4"/>
    <w:rsid w:val="00BA7E63"/>
    <w:rsid w:val="00BB1F3F"/>
    <w:rsid w:val="00BB4157"/>
    <w:rsid w:val="00BB5E0E"/>
    <w:rsid w:val="00BD0B82"/>
    <w:rsid w:val="00BD7910"/>
    <w:rsid w:val="00BF092D"/>
    <w:rsid w:val="00BF1E16"/>
    <w:rsid w:val="00C10E58"/>
    <w:rsid w:val="00C12FFF"/>
    <w:rsid w:val="00C16CB9"/>
    <w:rsid w:val="00C30564"/>
    <w:rsid w:val="00C32705"/>
    <w:rsid w:val="00C33288"/>
    <w:rsid w:val="00C41B69"/>
    <w:rsid w:val="00C50ACC"/>
    <w:rsid w:val="00C600AF"/>
    <w:rsid w:val="00C60B0C"/>
    <w:rsid w:val="00C84C63"/>
    <w:rsid w:val="00C858E5"/>
    <w:rsid w:val="00CC1803"/>
    <w:rsid w:val="00CD4914"/>
    <w:rsid w:val="00CE1755"/>
    <w:rsid w:val="00CE45B3"/>
    <w:rsid w:val="00CF4B90"/>
    <w:rsid w:val="00CF6E46"/>
    <w:rsid w:val="00D0292B"/>
    <w:rsid w:val="00D03FD8"/>
    <w:rsid w:val="00D1153E"/>
    <w:rsid w:val="00D20980"/>
    <w:rsid w:val="00D246B1"/>
    <w:rsid w:val="00D251FA"/>
    <w:rsid w:val="00D25D14"/>
    <w:rsid w:val="00D27E8C"/>
    <w:rsid w:val="00D3471B"/>
    <w:rsid w:val="00D37C7E"/>
    <w:rsid w:val="00D67EDF"/>
    <w:rsid w:val="00D71800"/>
    <w:rsid w:val="00D718A7"/>
    <w:rsid w:val="00D73546"/>
    <w:rsid w:val="00D766EF"/>
    <w:rsid w:val="00D8086F"/>
    <w:rsid w:val="00D8243F"/>
    <w:rsid w:val="00D84B7A"/>
    <w:rsid w:val="00D96A0A"/>
    <w:rsid w:val="00DA03D8"/>
    <w:rsid w:val="00DC14AA"/>
    <w:rsid w:val="00DD1DA7"/>
    <w:rsid w:val="00DD7FD9"/>
    <w:rsid w:val="00DE2C2F"/>
    <w:rsid w:val="00DE6E88"/>
    <w:rsid w:val="00DF0F61"/>
    <w:rsid w:val="00E00267"/>
    <w:rsid w:val="00E14151"/>
    <w:rsid w:val="00E15102"/>
    <w:rsid w:val="00E15A21"/>
    <w:rsid w:val="00E21CDB"/>
    <w:rsid w:val="00E243AC"/>
    <w:rsid w:val="00E31479"/>
    <w:rsid w:val="00E4750A"/>
    <w:rsid w:val="00E50B14"/>
    <w:rsid w:val="00E511DA"/>
    <w:rsid w:val="00E53754"/>
    <w:rsid w:val="00E55A41"/>
    <w:rsid w:val="00E62200"/>
    <w:rsid w:val="00E62B94"/>
    <w:rsid w:val="00E72607"/>
    <w:rsid w:val="00E72A11"/>
    <w:rsid w:val="00E8234A"/>
    <w:rsid w:val="00E83998"/>
    <w:rsid w:val="00E866B4"/>
    <w:rsid w:val="00EA0F7A"/>
    <w:rsid w:val="00EA3DD9"/>
    <w:rsid w:val="00EA467C"/>
    <w:rsid w:val="00EA4D9C"/>
    <w:rsid w:val="00EB54CF"/>
    <w:rsid w:val="00EB7DD8"/>
    <w:rsid w:val="00EE17FB"/>
    <w:rsid w:val="00EF51FD"/>
    <w:rsid w:val="00F16F8D"/>
    <w:rsid w:val="00F2424E"/>
    <w:rsid w:val="00F31A81"/>
    <w:rsid w:val="00F37B9C"/>
    <w:rsid w:val="00F43AB2"/>
    <w:rsid w:val="00F47022"/>
    <w:rsid w:val="00F473FD"/>
    <w:rsid w:val="00F50FD4"/>
    <w:rsid w:val="00F64826"/>
    <w:rsid w:val="00F67FD5"/>
    <w:rsid w:val="00F70847"/>
    <w:rsid w:val="00F75E8E"/>
    <w:rsid w:val="00F8322B"/>
    <w:rsid w:val="00F8459A"/>
    <w:rsid w:val="00F90545"/>
    <w:rsid w:val="00F90A90"/>
    <w:rsid w:val="00F939FD"/>
    <w:rsid w:val="00FA0CDA"/>
    <w:rsid w:val="00FA39D1"/>
    <w:rsid w:val="00FA3CC8"/>
    <w:rsid w:val="00FB3A0E"/>
    <w:rsid w:val="00FB4996"/>
    <w:rsid w:val="00FB4C2E"/>
    <w:rsid w:val="00FC2458"/>
    <w:rsid w:val="00FC2D36"/>
    <w:rsid w:val="00FC2F03"/>
    <w:rsid w:val="00FD2EB6"/>
    <w:rsid w:val="00FD54D7"/>
    <w:rsid w:val="00FE3F7E"/>
    <w:rsid w:val="00FE6E42"/>
    <w:rsid w:val="00FE76A1"/>
    <w:rsid w:val="00FF5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color w:val="FF0000"/>
      <w:u w:val="single"/>
    </w:rPr>
  </w:style>
  <w:style w:type="paragraph" w:styleId="Heading2">
    <w:name w:val="heading 2"/>
    <w:basedOn w:val="Normal"/>
    <w:next w:val="Normal"/>
    <w:qFormat/>
    <w:pPr>
      <w:keepNext/>
      <w:jc w:val="center"/>
      <w:outlineLvl w:val="1"/>
    </w:pPr>
    <w:rPr>
      <w:b/>
      <w:bCs/>
      <w:lang w:val="fr-CH"/>
    </w:rPr>
  </w:style>
  <w:style w:type="paragraph" w:styleId="Heading3">
    <w:name w:val="heading 3"/>
    <w:basedOn w:val="Normal"/>
    <w:next w:val="Normal"/>
    <w:qFormat/>
    <w:pPr>
      <w:keepNext/>
      <w:jc w:val="both"/>
      <w:outlineLvl w:val="2"/>
    </w:pPr>
    <w:rPr>
      <w:bCs/>
      <w:i/>
      <w:iCs/>
      <w:u w:val="single"/>
    </w:rPr>
  </w:style>
  <w:style w:type="paragraph" w:styleId="Heading4">
    <w:name w:val="heading 4"/>
    <w:basedOn w:val="Normal"/>
    <w:next w:val="Normal"/>
    <w:qFormat/>
    <w:pPr>
      <w:keepNext/>
      <w:outlineLvl w:val="3"/>
    </w:pPr>
    <w:rPr>
      <w:b/>
      <w:bCs/>
      <w:color w:val="FF0000"/>
      <w:u w:val="single"/>
    </w:rPr>
  </w:style>
  <w:style w:type="paragraph" w:styleId="Heading5">
    <w:name w:val="heading 5"/>
    <w:basedOn w:val="Normal"/>
    <w:next w:val="Normal"/>
    <w:qFormat/>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noProof w:val="0"/>
      <w:kern w:val="32"/>
      <w:sz w:val="32"/>
      <w:szCs w:val="32"/>
      <w:lang w:val="en-GB" w:eastAsia="en-GB"/>
    </w:rPr>
  </w:style>
  <w:style w:type="paragraph" w:styleId="FootnoteText">
    <w:name w:val="footnote text"/>
    <w:basedOn w:val="Normal"/>
    <w:semiHidden/>
    <w:rPr>
      <w:sz w:val="20"/>
      <w:szCs w:val="20"/>
    </w:rPr>
  </w:style>
  <w:style w:type="character" w:customStyle="1" w:styleId="FootnoteTextChar">
    <w:name w:val="Footnote Text Char"/>
    <w:semiHidden/>
    <w:locked/>
    <w:rPr>
      <w:rFonts w:cs="Times New Roman"/>
      <w:noProof w:val="0"/>
      <w:lang w:val="en-GB" w:eastAsia="en-GB"/>
    </w:rPr>
  </w:style>
  <w:style w:type="character" w:styleId="FootnoteReference">
    <w:name w:val="footnote reference"/>
    <w:semiHidden/>
    <w:rPr>
      <w:rFonts w:cs="Times New Roman"/>
      <w:vertAlign w:val="superscript"/>
    </w:rPr>
  </w:style>
  <w:style w:type="paragraph" w:styleId="ListBullet2">
    <w:name w:val="List Bullet 2"/>
    <w:basedOn w:val="Normal"/>
    <w:semiHidden/>
    <w:pPr>
      <w:numPr>
        <w:numId w:val="5"/>
      </w:numPr>
      <w:spacing w:after="240"/>
      <w:jc w:val="both"/>
    </w:pPr>
    <w:rPr>
      <w:szCs w:val="20"/>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noProof w:val="0"/>
      <w:sz w:val="2"/>
      <w:lang w:val="en-GB" w:eastAsia="en-GB"/>
    </w:rPr>
  </w:style>
  <w:style w:type="paragraph" w:styleId="Footer">
    <w:name w:val="footer"/>
    <w:basedOn w:val="Normal"/>
    <w:semiHidden/>
    <w:pPr>
      <w:tabs>
        <w:tab w:val="center" w:pos="4536"/>
        <w:tab w:val="right" w:pos="9072"/>
      </w:tabs>
    </w:pPr>
  </w:style>
  <w:style w:type="character" w:customStyle="1" w:styleId="FooterChar">
    <w:name w:val="Footer Char"/>
    <w:semiHidden/>
    <w:locked/>
    <w:rPr>
      <w:rFonts w:cs="Times New Roman"/>
      <w:noProof w:val="0"/>
      <w:sz w:val="24"/>
      <w:szCs w:val="24"/>
      <w:lang w:val="en-GB" w:eastAsia="en-GB"/>
    </w:rPr>
  </w:style>
  <w:style w:type="character" w:styleId="PageNumber">
    <w:name w:val="page number"/>
    <w:semiHidden/>
    <w:rPr>
      <w:rFonts w:cs="Times New Roman"/>
    </w:rPr>
  </w:style>
  <w:style w:type="paragraph" w:styleId="BodyText">
    <w:name w:val="Body Text"/>
    <w:basedOn w:val="Normal"/>
    <w:semiHidden/>
    <w:pPr>
      <w:jc w:val="both"/>
    </w:pPr>
    <w:rPr>
      <w:i/>
      <w:iCs/>
    </w:rPr>
  </w:style>
  <w:style w:type="character" w:customStyle="1" w:styleId="BodyTextChar">
    <w:name w:val="Body Text Char"/>
    <w:semiHidden/>
    <w:locked/>
    <w:rPr>
      <w:rFonts w:cs="Times New Roman"/>
      <w:noProof w:val="0"/>
      <w:sz w:val="24"/>
      <w:szCs w:val="24"/>
      <w:lang w:val="en-GB" w:eastAsia="en-GB"/>
    </w:rPr>
  </w:style>
  <w:style w:type="paragraph" w:styleId="BodyText2">
    <w:name w:val="Body Text 2"/>
    <w:basedOn w:val="Normal"/>
    <w:semiHidden/>
    <w:rPr>
      <w:i/>
      <w:iCs/>
    </w:rPr>
  </w:style>
  <w:style w:type="character" w:customStyle="1" w:styleId="BodyText2Char">
    <w:name w:val="Body Text 2 Char"/>
    <w:semiHidden/>
    <w:locked/>
    <w:rPr>
      <w:rFonts w:cs="Times New Roman"/>
      <w:noProof w:val="0"/>
      <w:sz w:val="24"/>
      <w:szCs w:val="24"/>
      <w:lang w:val="en-GB" w:eastAsia="en-GB"/>
    </w:rPr>
  </w:style>
  <w:style w:type="paragraph" w:customStyle="1" w:styleId="namelist">
    <w:name w:val="name list"/>
    <w:basedOn w:val="Normal"/>
    <w:pPr>
      <w:spacing w:after="240"/>
      <w:ind w:left="851" w:hanging="851"/>
      <w:jc w:val="both"/>
    </w:pPr>
    <w:rPr>
      <w:szCs w:val="20"/>
    </w:rPr>
  </w:style>
  <w:style w:type="character" w:styleId="Emphasis">
    <w:name w:val="Emphasis"/>
    <w:qFormat/>
    <w:rPr>
      <w:rFonts w:cs="Times New Roman"/>
      <w:i/>
      <w:iCs/>
    </w:rPr>
  </w:style>
  <w:style w:type="paragraph" w:styleId="CommentText">
    <w:name w:val="annotation text"/>
    <w:basedOn w:val="Normal"/>
    <w:link w:val="CommentTextChar"/>
    <w:semiHidden/>
    <w:rPr>
      <w:sz w:val="20"/>
      <w:szCs w:val="20"/>
    </w:rPr>
  </w:style>
  <w:style w:type="character" w:customStyle="1" w:styleId="CharChar1">
    <w:name w:val="Char Char1"/>
    <w:semiHidden/>
    <w:locked/>
    <w:rPr>
      <w:rFonts w:cs="Times New Roman"/>
      <w:noProof w:val="0"/>
      <w:sz w:val="24"/>
      <w:szCs w:val="24"/>
      <w:lang w:val="en-GB" w:eastAsia="en-GB"/>
    </w:rPr>
  </w:style>
  <w:style w:type="character" w:customStyle="1" w:styleId="CharChar">
    <w:name w:val="Char Char"/>
    <w:semiHidden/>
    <w:locked/>
    <w:rPr>
      <w:rFonts w:cs="Times New Roman"/>
      <w:noProof w:val="0"/>
      <w:sz w:val="24"/>
      <w:szCs w:val="24"/>
      <w:lang w:val="en-GB" w:eastAsia="en-GB"/>
    </w:rPr>
  </w:style>
  <w:style w:type="character" w:styleId="CommentReference">
    <w:name w:val="annotation reference"/>
    <w:semiHidden/>
    <w:rPr>
      <w:sz w:val="16"/>
      <w:szCs w:val="16"/>
    </w:rPr>
  </w:style>
  <w:style w:type="paragraph" w:styleId="BodyText3">
    <w:name w:val="Body Text 3"/>
    <w:basedOn w:val="Normal"/>
    <w:semiHidden/>
    <w:pPr>
      <w:jc w:val="both"/>
    </w:pPr>
  </w:style>
  <w:style w:type="paragraph" w:styleId="BodyTextIndent">
    <w:name w:val="Body Text Indent"/>
    <w:basedOn w:val="Normal"/>
    <w:semiHidden/>
    <w:pPr>
      <w:ind w:left="360"/>
    </w:pPr>
    <w:rPr>
      <w:sz w:val="22"/>
      <w:lang w:val="en-US" w:eastAsia="en-US"/>
    </w:rPr>
  </w:style>
  <w:style w:type="paragraph" w:styleId="Header">
    <w:name w:val="header"/>
    <w:basedOn w:val="Normal"/>
    <w:semiHidden/>
    <w:unhideWhenUsed/>
    <w:pPr>
      <w:tabs>
        <w:tab w:val="center" w:pos="4680"/>
        <w:tab w:val="right" w:pos="9360"/>
      </w:tabs>
    </w:pPr>
  </w:style>
  <w:style w:type="character" w:customStyle="1" w:styleId="HeaderChar">
    <w:name w:val="Header Char"/>
    <w:rPr>
      <w:sz w:val="24"/>
      <w:szCs w:val="24"/>
      <w:lang w:val="en-GB" w:eastAsia="en-GB"/>
    </w:rPr>
  </w:style>
  <w:style w:type="character" w:customStyle="1" w:styleId="CommentTextChar">
    <w:name w:val="Comment Text Char"/>
    <w:link w:val="CommentText"/>
    <w:semiHidden/>
    <w:rsid w:val="008A699A"/>
    <w:rPr>
      <w:lang w:val="en-GB" w:eastAsia="en-GB"/>
    </w:rPr>
  </w:style>
  <w:style w:type="paragraph" w:customStyle="1" w:styleId="Default">
    <w:name w:val="Default"/>
    <w:rsid w:val="00D8086F"/>
    <w:pPr>
      <w:autoSpaceDE w:val="0"/>
      <w:autoSpaceDN w:val="0"/>
      <w:adjustRightInd w:val="0"/>
    </w:pPr>
    <w:rPr>
      <w:rFonts w:ascii="Verdana" w:hAnsi="Verdana" w:cs="Verdana"/>
      <w:color w:val="000000"/>
      <w:sz w:val="24"/>
      <w:szCs w:val="24"/>
      <w:lang w:val="de-DE"/>
    </w:rPr>
  </w:style>
  <w:style w:type="character" w:styleId="Hyperlink">
    <w:name w:val="Hyperlink"/>
    <w:basedOn w:val="DefaultParagraphFont"/>
    <w:uiPriority w:val="99"/>
    <w:semiHidden/>
    <w:unhideWhenUsed/>
    <w:rsid w:val="009B4547"/>
    <w:rPr>
      <w:color w:val="0000FF"/>
      <w:u w:val="single"/>
    </w:rPr>
  </w:style>
  <w:style w:type="paragraph" w:styleId="NormalWeb">
    <w:name w:val="Normal (Web)"/>
    <w:basedOn w:val="Normal"/>
    <w:uiPriority w:val="99"/>
    <w:semiHidden/>
    <w:unhideWhenUsed/>
    <w:rsid w:val="009B4547"/>
    <w:pPr>
      <w:spacing w:before="100" w:beforeAutospacing="1" w:after="100" w:afterAutospacing="1"/>
    </w:pPr>
    <w:rPr>
      <w:lang w:val="de-DE" w:eastAsia="de-DE"/>
    </w:rPr>
  </w:style>
  <w:style w:type="paragraph" w:styleId="ListParagraph">
    <w:name w:val="List Paragraph"/>
    <w:basedOn w:val="Normal"/>
    <w:uiPriority w:val="34"/>
    <w:qFormat/>
    <w:rsid w:val="008979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color w:val="FF0000"/>
      <w:u w:val="single"/>
    </w:rPr>
  </w:style>
  <w:style w:type="paragraph" w:styleId="Heading2">
    <w:name w:val="heading 2"/>
    <w:basedOn w:val="Normal"/>
    <w:next w:val="Normal"/>
    <w:qFormat/>
    <w:pPr>
      <w:keepNext/>
      <w:jc w:val="center"/>
      <w:outlineLvl w:val="1"/>
    </w:pPr>
    <w:rPr>
      <w:b/>
      <w:bCs/>
      <w:lang w:val="fr-CH"/>
    </w:rPr>
  </w:style>
  <w:style w:type="paragraph" w:styleId="Heading3">
    <w:name w:val="heading 3"/>
    <w:basedOn w:val="Normal"/>
    <w:next w:val="Normal"/>
    <w:qFormat/>
    <w:pPr>
      <w:keepNext/>
      <w:jc w:val="both"/>
      <w:outlineLvl w:val="2"/>
    </w:pPr>
    <w:rPr>
      <w:bCs/>
      <w:i/>
      <w:iCs/>
      <w:u w:val="single"/>
    </w:rPr>
  </w:style>
  <w:style w:type="paragraph" w:styleId="Heading4">
    <w:name w:val="heading 4"/>
    <w:basedOn w:val="Normal"/>
    <w:next w:val="Normal"/>
    <w:qFormat/>
    <w:pPr>
      <w:keepNext/>
      <w:outlineLvl w:val="3"/>
    </w:pPr>
    <w:rPr>
      <w:b/>
      <w:bCs/>
      <w:color w:val="FF0000"/>
      <w:u w:val="single"/>
    </w:rPr>
  </w:style>
  <w:style w:type="paragraph" w:styleId="Heading5">
    <w:name w:val="heading 5"/>
    <w:basedOn w:val="Normal"/>
    <w:next w:val="Normal"/>
    <w:qFormat/>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noProof w:val="0"/>
      <w:kern w:val="32"/>
      <w:sz w:val="32"/>
      <w:szCs w:val="32"/>
      <w:lang w:val="en-GB" w:eastAsia="en-GB"/>
    </w:rPr>
  </w:style>
  <w:style w:type="paragraph" w:styleId="FootnoteText">
    <w:name w:val="footnote text"/>
    <w:basedOn w:val="Normal"/>
    <w:semiHidden/>
    <w:rPr>
      <w:sz w:val="20"/>
      <w:szCs w:val="20"/>
    </w:rPr>
  </w:style>
  <w:style w:type="character" w:customStyle="1" w:styleId="FootnoteTextChar">
    <w:name w:val="Footnote Text Char"/>
    <w:semiHidden/>
    <w:locked/>
    <w:rPr>
      <w:rFonts w:cs="Times New Roman"/>
      <w:noProof w:val="0"/>
      <w:lang w:val="en-GB" w:eastAsia="en-GB"/>
    </w:rPr>
  </w:style>
  <w:style w:type="character" w:styleId="FootnoteReference">
    <w:name w:val="footnote reference"/>
    <w:semiHidden/>
    <w:rPr>
      <w:rFonts w:cs="Times New Roman"/>
      <w:vertAlign w:val="superscript"/>
    </w:rPr>
  </w:style>
  <w:style w:type="paragraph" w:styleId="ListBullet2">
    <w:name w:val="List Bullet 2"/>
    <w:basedOn w:val="Normal"/>
    <w:semiHidden/>
    <w:pPr>
      <w:numPr>
        <w:numId w:val="5"/>
      </w:numPr>
      <w:spacing w:after="240"/>
      <w:jc w:val="both"/>
    </w:pPr>
    <w:rPr>
      <w:szCs w:val="20"/>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noProof w:val="0"/>
      <w:sz w:val="2"/>
      <w:lang w:val="en-GB" w:eastAsia="en-GB"/>
    </w:rPr>
  </w:style>
  <w:style w:type="paragraph" w:styleId="Footer">
    <w:name w:val="footer"/>
    <w:basedOn w:val="Normal"/>
    <w:semiHidden/>
    <w:pPr>
      <w:tabs>
        <w:tab w:val="center" w:pos="4536"/>
        <w:tab w:val="right" w:pos="9072"/>
      </w:tabs>
    </w:pPr>
  </w:style>
  <w:style w:type="character" w:customStyle="1" w:styleId="FooterChar">
    <w:name w:val="Footer Char"/>
    <w:semiHidden/>
    <w:locked/>
    <w:rPr>
      <w:rFonts w:cs="Times New Roman"/>
      <w:noProof w:val="0"/>
      <w:sz w:val="24"/>
      <w:szCs w:val="24"/>
      <w:lang w:val="en-GB" w:eastAsia="en-GB"/>
    </w:rPr>
  </w:style>
  <w:style w:type="character" w:styleId="PageNumber">
    <w:name w:val="page number"/>
    <w:semiHidden/>
    <w:rPr>
      <w:rFonts w:cs="Times New Roman"/>
    </w:rPr>
  </w:style>
  <w:style w:type="paragraph" w:styleId="BodyText">
    <w:name w:val="Body Text"/>
    <w:basedOn w:val="Normal"/>
    <w:semiHidden/>
    <w:pPr>
      <w:jc w:val="both"/>
    </w:pPr>
    <w:rPr>
      <w:i/>
      <w:iCs/>
    </w:rPr>
  </w:style>
  <w:style w:type="character" w:customStyle="1" w:styleId="BodyTextChar">
    <w:name w:val="Body Text Char"/>
    <w:semiHidden/>
    <w:locked/>
    <w:rPr>
      <w:rFonts w:cs="Times New Roman"/>
      <w:noProof w:val="0"/>
      <w:sz w:val="24"/>
      <w:szCs w:val="24"/>
      <w:lang w:val="en-GB" w:eastAsia="en-GB"/>
    </w:rPr>
  </w:style>
  <w:style w:type="paragraph" w:styleId="BodyText2">
    <w:name w:val="Body Text 2"/>
    <w:basedOn w:val="Normal"/>
    <w:semiHidden/>
    <w:rPr>
      <w:i/>
      <w:iCs/>
    </w:rPr>
  </w:style>
  <w:style w:type="character" w:customStyle="1" w:styleId="BodyText2Char">
    <w:name w:val="Body Text 2 Char"/>
    <w:semiHidden/>
    <w:locked/>
    <w:rPr>
      <w:rFonts w:cs="Times New Roman"/>
      <w:noProof w:val="0"/>
      <w:sz w:val="24"/>
      <w:szCs w:val="24"/>
      <w:lang w:val="en-GB" w:eastAsia="en-GB"/>
    </w:rPr>
  </w:style>
  <w:style w:type="paragraph" w:customStyle="1" w:styleId="namelist">
    <w:name w:val="name list"/>
    <w:basedOn w:val="Normal"/>
    <w:pPr>
      <w:spacing w:after="240"/>
      <w:ind w:left="851" w:hanging="851"/>
      <w:jc w:val="both"/>
    </w:pPr>
    <w:rPr>
      <w:szCs w:val="20"/>
    </w:rPr>
  </w:style>
  <w:style w:type="character" w:styleId="Emphasis">
    <w:name w:val="Emphasis"/>
    <w:qFormat/>
    <w:rPr>
      <w:rFonts w:cs="Times New Roman"/>
      <w:i/>
      <w:iCs/>
    </w:rPr>
  </w:style>
  <w:style w:type="paragraph" w:styleId="CommentText">
    <w:name w:val="annotation text"/>
    <w:basedOn w:val="Normal"/>
    <w:link w:val="CommentTextChar"/>
    <w:semiHidden/>
    <w:rPr>
      <w:sz w:val="20"/>
      <w:szCs w:val="20"/>
    </w:rPr>
  </w:style>
  <w:style w:type="character" w:customStyle="1" w:styleId="CharChar1">
    <w:name w:val="Char Char1"/>
    <w:semiHidden/>
    <w:locked/>
    <w:rPr>
      <w:rFonts w:cs="Times New Roman"/>
      <w:noProof w:val="0"/>
      <w:sz w:val="24"/>
      <w:szCs w:val="24"/>
      <w:lang w:val="en-GB" w:eastAsia="en-GB"/>
    </w:rPr>
  </w:style>
  <w:style w:type="character" w:customStyle="1" w:styleId="CharChar">
    <w:name w:val="Char Char"/>
    <w:semiHidden/>
    <w:locked/>
    <w:rPr>
      <w:rFonts w:cs="Times New Roman"/>
      <w:noProof w:val="0"/>
      <w:sz w:val="24"/>
      <w:szCs w:val="24"/>
      <w:lang w:val="en-GB" w:eastAsia="en-GB"/>
    </w:rPr>
  </w:style>
  <w:style w:type="character" w:styleId="CommentReference">
    <w:name w:val="annotation reference"/>
    <w:semiHidden/>
    <w:rPr>
      <w:sz w:val="16"/>
      <w:szCs w:val="16"/>
    </w:rPr>
  </w:style>
  <w:style w:type="paragraph" w:styleId="BodyText3">
    <w:name w:val="Body Text 3"/>
    <w:basedOn w:val="Normal"/>
    <w:semiHidden/>
    <w:pPr>
      <w:jc w:val="both"/>
    </w:pPr>
  </w:style>
  <w:style w:type="paragraph" w:styleId="BodyTextIndent">
    <w:name w:val="Body Text Indent"/>
    <w:basedOn w:val="Normal"/>
    <w:semiHidden/>
    <w:pPr>
      <w:ind w:left="360"/>
    </w:pPr>
    <w:rPr>
      <w:sz w:val="22"/>
      <w:lang w:val="en-US" w:eastAsia="en-US"/>
    </w:rPr>
  </w:style>
  <w:style w:type="paragraph" w:styleId="Header">
    <w:name w:val="header"/>
    <w:basedOn w:val="Normal"/>
    <w:semiHidden/>
    <w:unhideWhenUsed/>
    <w:pPr>
      <w:tabs>
        <w:tab w:val="center" w:pos="4680"/>
        <w:tab w:val="right" w:pos="9360"/>
      </w:tabs>
    </w:pPr>
  </w:style>
  <w:style w:type="character" w:customStyle="1" w:styleId="HeaderChar">
    <w:name w:val="Header Char"/>
    <w:rPr>
      <w:sz w:val="24"/>
      <w:szCs w:val="24"/>
      <w:lang w:val="en-GB" w:eastAsia="en-GB"/>
    </w:rPr>
  </w:style>
  <w:style w:type="character" w:customStyle="1" w:styleId="CommentTextChar">
    <w:name w:val="Comment Text Char"/>
    <w:link w:val="CommentText"/>
    <w:semiHidden/>
    <w:rsid w:val="008A699A"/>
    <w:rPr>
      <w:lang w:val="en-GB" w:eastAsia="en-GB"/>
    </w:rPr>
  </w:style>
  <w:style w:type="paragraph" w:customStyle="1" w:styleId="Default">
    <w:name w:val="Default"/>
    <w:rsid w:val="00D8086F"/>
    <w:pPr>
      <w:autoSpaceDE w:val="0"/>
      <w:autoSpaceDN w:val="0"/>
      <w:adjustRightInd w:val="0"/>
    </w:pPr>
    <w:rPr>
      <w:rFonts w:ascii="Verdana" w:hAnsi="Verdana" w:cs="Verdana"/>
      <w:color w:val="000000"/>
      <w:sz w:val="24"/>
      <w:szCs w:val="24"/>
      <w:lang w:val="de-DE"/>
    </w:rPr>
  </w:style>
  <w:style w:type="character" w:styleId="Hyperlink">
    <w:name w:val="Hyperlink"/>
    <w:basedOn w:val="DefaultParagraphFont"/>
    <w:uiPriority w:val="99"/>
    <w:semiHidden/>
    <w:unhideWhenUsed/>
    <w:rsid w:val="009B4547"/>
    <w:rPr>
      <w:color w:val="0000FF"/>
      <w:u w:val="single"/>
    </w:rPr>
  </w:style>
  <w:style w:type="paragraph" w:styleId="NormalWeb">
    <w:name w:val="Normal (Web)"/>
    <w:basedOn w:val="Normal"/>
    <w:uiPriority w:val="99"/>
    <w:semiHidden/>
    <w:unhideWhenUsed/>
    <w:rsid w:val="009B4547"/>
    <w:pPr>
      <w:spacing w:before="100" w:beforeAutospacing="1" w:after="100" w:afterAutospacing="1"/>
    </w:pPr>
    <w:rPr>
      <w:lang w:val="de-DE" w:eastAsia="de-DE"/>
    </w:rPr>
  </w:style>
  <w:style w:type="paragraph" w:styleId="ListParagraph">
    <w:name w:val="List Paragraph"/>
    <w:basedOn w:val="Normal"/>
    <w:uiPriority w:val="34"/>
    <w:qFormat/>
    <w:rsid w:val="00897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5750">
      <w:bodyDiv w:val="1"/>
      <w:marLeft w:val="0"/>
      <w:marRight w:val="0"/>
      <w:marTop w:val="0"/>
      <w:marBottom w:val="0"/>
      <w:divBdr>
        <w:top w:val="none" w:sz="0" w:space="0" w:color="auto"/>
        <w:left w:val="none" w:sz="0" w:space="0" w:color="auto"/>
        <w:bottom w:val="none" w:sz="0" w:space="0" w:color="auto"/>
        <w:right w:val="none" w:sz="0" w:space="0" w:color="auto"/>
      </w:divBdr>
      <w:divsChild>
        <w:div w:id="1910916127">
          <w:marLeft w:val="0"/>
          <w:marRight w:val="0"/>
          <w:marTop w:val="0"/>
          <w:marBottom w:val="0"/>
          <w:divBdr>
            <w:top w:val="none" w:sz="0" w:space="0" w:color="auto"/>
            <w:left w:val="none" w:sz="0" w:space="0" w:color="auto"/>
            <w:bottom w:val="none" w:sz="0" w:space="0" w:color="auto"/>
            <w:right w:val="none" w:sz="0" w:space="0" w:color="auto"/>
          </w:divBdr>
          <w:divsChild>
            <w:div w:id="312103561">
              <w:marLeft w:val="0"/>
              <w:marRight w:val="0"/>
              <w:marTop w:val="0"/>
              <w:marBottom w:val="0"/>
              <w:divBdr>
                <w:top w:val="none" w:sz="0" w:space="0" w:color="auto"/>
                <w:left w:val="none" w:sz="0" w:space="0" w:color="auto"/>
                <w:bottom w:val="none" w:sz="0" w:space="0" w:color="auto"/>
                <w:right w:val="none" w:sz="0" w:space="0" w:color="auto"/>
              </w:divBdr>
              <w:divsChild>
                <w:div w:id="1611933052">
                  <w:marLeft w:val="0"/>
                  <w:marRight w:val="0"/>
                  <w:marTop w:val="0"/>
                  <w:marBottom w:val="0"/>
                  <w:divBdr>
                    <w:top w:val="none" w:sz="0" w:space="0" w:color="auto"/>
                    <w:left w:val="none" w:sz="0" w:space="0" w:color="auto"/>
                    <w:bottom w:val="none" w:sz="0" w:space="0" w:color="auto"/>
                    <w:right w:val="none" w:sz="0" w:space="0" w:color="auto"/>
                  </w:divBdr>
                  <w:divsChild>
                    <w:div w:id="1847944131">
                      <w:marLeft w:val="2250"/>
                      <w:marRight w:val="2565"/>
                      <w:marTop w:val="0"/>
                      <w:marBottom w:val="0"/>
                      <w:divBdr>
                        <w:top w:val="none" w:sz="0" w:space="0" w:color="auto"/>
                        <w:left w:val="none" w:sz="0" w:space="0" w:color="auto"/>
                        <w:bottom w:val="none" w:sz="0" w:space="0" w:color="auto"/>
                        <w:right w:val="none" w:sz="0" w:space="0" w:color="auto"/>
                      </w:divBdr>
                      <w:divsChild>
                        <w:div w:id="1593391111">
                          <w:marLeft w:val="0"/>
                          <w:marRight w:val="0"/>
                          <w:marTop w:val="0"/>
                          <w:marBottom w:val="0"/>
                          <w:divBdr>
                            <w:top w:val="none" w:sz="0" w:space="0" w:color="auto"/>
                            <w:left w:val="none" w:sz="0" w:space="0" w:color="auto"/>
                            <w:bottom w:val="none" w:sz="0" w:space="0" w:color="auto"/>
                            <w:right w:val="none" w:sz="0" w:space="0" w:color="auto"/>
                          </w:divBdr>
                          <w:divsChild>
                            <w:div w:id="2038463899">
                              <w:marLeft w:val="0"/>
                              <w:marRight w:val="0"/>
                              <w:marTop w:val="0"/>
                              <w:marBottom w:val="0"/>
                              <w:divBdr>
                                <w:top w:val="none" w:sz="0" w:space="0" w:color="auto"/>
                                <w:left w:val="none" w:sz="0" w:space="0" w:color="auto"/>
                                <w:bottom w:val="none" w:sz="0" w:space="0" w:color="auto"/>
                                <w:right w:val="none" w:sz="0" w:space="0" w:color="auto"/>
                              </w:divBdr>
                              <w:divsChild>
                                <w:div w:id="1717850484">
                                  <w:marLeft w:val="0"/>
                                  <w:marRight w:val="0"/>
                                  <w:marTop w:val="0"/>
                                  <w:marBottom w:val="0"/>
                                  <w:divBdr>
                                    <w:top w:val="none" w:sz="0" w:space="0" w:color="auto"/>
                                    <w:left w:val="none" w:sz="0" w:space="0" w:color="auto"/>
                                    <w:bottom w:val="none" w:sz="0" w:space="0" w:color="auto"/>
                                    <w:right w:val="none" w:sz="0" w:space="0" w:color="auto"/>
                                  </w:divBdr>
                                  <w:divsChild>
                                    <w:div w:id="15026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6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1CC2-C933-48D7-B351-1792BF39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A31B7D1F</Template>
  <TotalTime>0</TotalTime>
  <Pages>4</Pages>
  <Words>1370</Words>
  <Characters>7539</Characters>
  <Application>Microsoft Office Word</Application>
  <DocSecurity>0</DocSecurity>
  <Lines>62</Lines>
  <Paragraphs>17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Best execution</vt:lpstr>
      <vt:lpstr>Best execution</vt:lpstr>
      <vt:lpstr>Best execution</vt:lpstr>
    </vt:vector>
  </TitlesOfParts>
  <Company>European Commission</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execution</dc:title>
  <dc:creator>salvatore gnoni</dc:creator>
  <cp:lastModifiedBy>Evelyne CHRISTIAENS</cp:lastModifiedBy>
  <cp:revision>2</cp:revision>
  <cp:lastPrinted>2012-02-09T10:58:00Z</cp:lastPrinted>
  <dcterms:created xsi:type="dcterms:W3CDTF">2014-02-07T13:17:00Z</dcterms:created>
  <dcterms:modified xsi:type="dcterms:W3CDTF">2014-02-07T13:17:00Z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