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46F" w:rsidRPr="00776F05" w:rsidRDefault="00AA0C6C" w:rsidP="001419F0">
      <w:pPr>
        <w:tabs>
          <w:tab w:val="left" w:pos="3686"/>
        </w:tabs>
        <w:spacing w:after="120" w:line="240" w:lineRule="auto"/>
        <w:ind w:left="6480" w:firstLine="720"/>
        <w:rPr>
          <w:rFonts w:cs="Calibri"/>
          <w:sz w:val="24"/>
          <w:szCs w:val="24"/>
        </w:rPr>
      </w:pPr>
      <w:r>
        <w:rPr>
          <w:rFonts w:cs="Calibri"/>
          <w:noProof/>
          <w:sz w:val="24"/>
          <w:szCs w:val="24"/>
          <w:lang w:eastAsia="en-GB"/>
        </w:rPr>
        <w:drawing>
          <wp:anchor distT="0" distB="0" distL="114300" distR="114300" simplePos="0" relativeHeight="251658752" behindDoc="1" locked="0" layoutInCell="1" allowOverlap="1">
            <wp:simplePos x="0" y="0"/>
            <wp:positionH relativeFrom="column">
              <wp:posOffset>996878</wp:posOffset>
            </wp:positionH>
            <wp:positionV relativeFrom="paragraph">
              <wp:posOffset>1905</wp:posOffset>
            </wp:positionV>
            <wp:extent cx="2571750" cy="704850"/>
            <wp:effectExtent l="0" t="0" r="0" b="0"/>
            <wp:wrapNone/>
            <wp:docPr id="1" name="Picture 1" descr="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3"/>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71750" cy="704850"/>
                    </a:xfrm>
                    <a:prstGeom prst="rect">
                      <a:avLst/>
                    </a:prstGeom>
                    <a:noFill/>
                    <a:ln w="9525">
                      <a:noFill/>
                      <a:miter lim="800000"/>
                      <a:headEnd/>
                      <a:tailEnd/>
                    </a:ln>
                  </pic:spPr>
                </pic:pic>
              </a:graphicData>
            </a:graphic>
          </wp:anchor>
        </w:drawing>
      </w:r>
      <w:r w:rsidR="00A10D2D">
        <w:rPr>
          <w:noProof/>
          <w:lang w:eastAsia="en-GB"/>
        </w:rPr>
        <w:drawing>
          <wp:anchor distT="0" distB="0" distL="114300" distR="114300" simplePos="0" relativeHeight="251657728" behindDoc="0" locked="0" layoutInCell="1" allowOverlap="1">
            <wp:simplePos x="0" y="0"/>
            <wp:positionH relativeFrom="page">
              <wp:posOffset>1230630</wp:posOffset>
            </wp:positionH>
            <wp:positionV relativeFrom="page">
              <wp:posOffset>781050</wp:posOffset>
            </wp:positionV>
            <wp:extent cx="1725295" cy="685800"/>
            <wp:effectExtent l="19050" t="0" r="8255" b="0"/>
            <wp:wrapSquare wrapText="bothSides"/>
            <wp:docPr id="2" name="Picture 1" descr="AF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ME LOGO"/>
                    <pic:cNvPicPr>
                      <a:picLocks noChangeAspect="1" noChangeArrowheads="1"/>
                    </pic:cNvPicPr>
                  </pic:nvPicPr>
                  <pic:blipFill>
                    <a:blip r:embed="rId9" cstate="print"/>
                    <a:srcRect/>
                    <a:stretch>
                      <a:fillRect/>
                    </a:stretch>
                  </pic:blipFill>
                  <pic:spPr bwMode="auto">
                    <a:xfrm>
                      <a:off x="0" y="0"/>
                      <a:ext cx="1725295" cy="685800"/>
                    </a:xfrm>
                    <a:prstGeom prst="rect">
                      <a:avLst/>
                    </a:prstGeom>
                    <a:noFill/>
                    <a:ln w="9525">
                      <a:noFill/>
                      <a:miter lim="800000"/>
                      <a:headEnd/>
                      <a:tailEnd/>
                    </a:ln>
                  </pic:spPr>
                </pic:pic>
              </a:graphicData>
            </a:graphic>
          </wp:anchor>
        </w:drawing>
      </w:r>
    </w:p>
    <w:p w:rsidR="002D246F" w:rsidRPr="00776F05" w:rsidRDefault="002D246F" w:rsidP="006D5317">
      <w:pPr>
        <w:pStyle w:val="Default"/>
        <w:spacing w:after="120"/>
        <w:ind w:left="720" w:hanging="720"/>
        <w:jc w:val="both"/>
        <w:rPr>
          <w:rFonts w:ascii="Calibri" w:hAnsi="Calibri" w:cs="Calibri"/>
          <w:b/>
          <w:bCs/>
        </w:rPr>
      </w:pPr>
    </w:p>
    <w:p w:rsidR="00106A13" w:rsidRDefault="00106A13" w:rsidP="00865072">
      <w:pPr>
        <w:spacing w:after="0" w:line="240" w:lineRule="auto"/>
        <w:jc w:val="both"/>
        <w:rPr>
          <w:rFonts w:cs="Calibri"/>
          <w:b/>
          <w:color w:val="7030A0"/>
          <w:sz w:val="28"/>
          <w:szCs w:val="28"/>
        </w:rPr>
      </w:pPr>
    </w:p>
    <w:p w:rsidR="003E6AFF" w:rsidRPr="009C4642" w:rsidRDefault="003E6AFF" w:rsidP="00865072">
      <w:pPr>
        <w:spacing w:after="0" w:line="240" w:lineRule="auto"/>
        <w:jc w:val="both"/>
        <w:rPr>
          <w:rFonts w:cs="Calibri"/>
          <w:b/>
          <w:color w:val="7030A0"/>
          <w:sz w:val="28"/>
          <w:szCs w:val="28"/>
        </w:rPr>
      </w:pPr>
    </w:p>
    <w:p w:rsidR="00B90F56" w:rsidRDefault="00327D46" w:rsidP="00865072">
      <w:pPr>
        <w:spacing w:after="0" w:line="240" w:lineRule="auto"/>
        <w:jc w:val="both"/>
        <w:rPr>
          <w:rFonts w:cs="Calibri"/>
          <w:b/>
          <w:color w:val="7030A0"/>
          <w:sz w:val="28"/>
          <w:szCs w:val="28"/>
        </w:rPr>
      </w:pPr>
      <w:r>
        <w:rPr>
          <w:rFonts w:cs="Calibri"/>
          <w:b/>
          <w:color w:val="7030A0"/>
          <w:sz w:val="28"/>
          <w:szCs w:val="28"/>
        </w:rPr>
        <w:t xml:space="preserve">30 </w:t>
      </w:r>
      <w:r w:rsidR="0064091F">
        <w:rPr>
          <w:rFonts w:cs="Calibri"/>
          <w:b/>
          <w:color w:val="7030A0"/>
          <w:sz w:val="28"/>
          <w:szCs w:val="28"/>
        </w:rPr>
        <w:t>May</w:t>
      </w:r>
      <w:r w:rsidR="00106A13" w:rsidRPr="009C4642">
        <w:rPr>
          <w:rFonts w:cs="Calibri"/>
          <w:b/>
          <w:color w:val="7030A0"/>
          <w:sz w:val="28"/>
          <w:szCs w:val="28"/>
        </w:rPr>
        <w:t xml:space="preserve"> 2014</w:t>
      </w:r>
    </w:p>
    <w:p w:rsidR="003E6AFF" w:rsidRPr="0064091F" w:rsidRDefault="003E6AFF" w:rsidP="00865072">
      <w:pPr>
        <w:spacing w:after="0" w:line="240" w:lineRule="auto"/>
        <w:jc w:val="both"/>
        <w:rPr>
          <w:rFonts w:cs="Calibri"/>
          <w:b/>
          <w:color w:val="7030A0"/>
          <w:sz w:val="28"/>
          <w:szCs w:val="28"/>
        </w:rPr>
      </w:pPr>
    </w:p>
    <w:p w:rsidR="001419F0" w:rsidRPr="001419F0" w:rsidRDefault="001419F0" w:rsidP="001419F0">
      <w:pPr>
        <w:spacing w:after="0" w:line="240" w:lineRule="auto"/>
        <w:jc w:val="both"/>
        <w:rPr>
          <w:rFonts w:cs="Arial"/>
          <w:b/>
          <w:color w:val="7030A0"/>
          <w:sz w:val="28"/>
          <w:szCs w:val="28"/>
        </w:rPr>
      </w:pPr>
      <w:r w:rsidRPr="001419F0">
        <w:rPr>
          <w:rFonts w:cs="Arial"/>
          <w:b/>
          <w:color w:val="7030A0"/>
          <w:sz w:val="28"/>
          <w:szCs w:val="28"/>
        </w:rPr>
        <w:t>ESMA Consultation Paper: Draft Regulatory Technical Standards on major shareholdings and indicative list of financial instruments subject to notification requirements under the revised Transparency Directive</w:t>
      </w:r>
    </w:p>
    <w:p w:rsidR="00511067" w:rsidRPr="009C4642" w:rsidRDefault="00511067" w:rsidP="006D5317">
      <w:pPr>
        <w:spacing w:after="120" w:line="240" w:lineRule="auto"/>
        <w:jc w:val="both"/>
        <w:rPr>
          <w:rFonts w:cs="Calibri"/>
          <w:b/>
          <w:color w:val="7030A0"/>
          <w:sz w:val="28"/>
          <w:szCs w:val="28"/>
        </w:rPr>
      </w:pPr>
    </w:p>
    <w:p w:rsidR="00B90F56" w:rsidRPr="009C4642" w:rsidRDefault="00B90F56" w:rsidP="00EF2998">
      <w:pPr>
        <w:spacing w:after="180" w:line="240" w:lineRule="auto"/>
        <w:jc w:val="both"/>
        <w:rPr>
          <w:rFonts w:cs="Calibri"/>
          <w:b/>
          <w:color w:val="7030A0"/>
          <w:sz w:val="28"/>
          <w:szCs w:val="28"/>
        </w:rPr>
      </w:pPr>
      <w:r w:rsidRPr="009C4642">
        <w:rPr>
          <w:rFonts w:cs="Calibri"/>
          <w:b/>
          <w:color w:val="7030A0"/>
          <w:sz w:val="28"/>
          <w:szCs w:val="28"/>
        </w:rPr>
        <w:t>Introduction</w:t>
      </w:r>
    </w:p>
    <w:p w:rsidR="00FF2189" w:rsidRPr="00456109" w:rsidRDefault="00D12673" w:rsidP="00EF2998">
      <w:pPr>
        <w:spacing w:after="180" w:line="240" w:lineRule="auto"/>
        <w:jc w:val="both"/>
        <w:rPr>
          <w:color w:val="000000"/>
          <w:sz w:val="20"/>
          <w:szCs w:val="20"/>
        </w:rPr>
      </w:pPr>
      <w:r w:rsidRPr="00456109">
        <w:rPr>
          <w:color w:val="000000"/>
          <w:sz w:val="20"/>
          <w:szCs w:val="20"/>
        </w:rPr>
        <w:t xml:space="preserve">On behalf of </w:t>
      </w:r>
      <w:r w:rsidR="00C53DF7" w:rsidRPr="00456109">
        <w:rPr>
          <w:color w:val="000000"/>
          <w:sz w:val="20"/>
          <w:szCs w:val="20"/>
        </w:rPr>
        <w:t>their</w:t>
      </w:r>
      <w:r w:rsidRPr="00456109">
        <w:rPr>
          <w:color w:val="000000"/>
          <w:sz w:val="20"/>
          <w:szCs w:val="20"/>
        </w:rPr>
        <w:t xml:space="preserve"> members</w:t>
      </w:r>
      <w:r w:rsidR="00C53DF7" w:rsidRPr="00456109">
        <w:rPr>
          <w:color w:val="000000"/>
          <w:sz w:val="20"/>
          <w:szCs w:val="20"/>
        </w:rPr>
        <w:t xml:space="preserve">, AFME and ISDA welcome the opportunity to comment on </w:t>
      </w:r>
      <w:r w:rsidR="003A6E5A">
        <w:rPr>
          <w:color w:val="000000"/>
          <w:sz w:val="20"/>
          <w:szCs w:val="20"/>
        </w:rPr>
        <w:t xml:space="preserve">the </w:t>
      </w:r>
      <w:r w:rsidR="00FF2189" w:rsidRPr="00456109">
        <w:rPr>
          <w:color w:val="000000"/>
          <w:sz w:val="20"/>
          <w:szCs w:val="20"/>
        </w:rPr>
        <w:t xml:space="preserve">ESMA consultation paper on draft regulatory technical standards on major shareholdings and </w:t>
      </w:r>
      <w:r w:rsidR="00843BEA">
        <w:rPr>
          <w:color w:val="000000"/>
          <w:sz w:val="20"/>
          <w:szCs w:val="20"/>
        </w:rPr>
        <w:t xml:space="preserve">the </w:t>
      </w:r>
      <w:r w:rsidR="00FF2189" w:rsidRPr="00456109">
        <w:rPr>
          <w:color w:val="000000"/>
          <w:sz w:val="20"/>
          <w:szCs w:val="20"/>
        </w:rPr>
        <w:t>indicative list of financial instruments subject to notification</w:t>
      </w:r>
      <w:r w:rsidR="00537FED">
        <w:rPr>
          <w:color w:val="000000"/>
          <w:sz w:val="20"/>
          <w:szCs w:val="20"/>
        </w:rPr>
        <w:t xml:space="preserve"> requirement</w:t>
      </w:r>
      <w:r w:rsidR="00843BEA">
        <w:rPr>
          <w:color w:val="000000"/>
          <w:sz w:val="20"/>
          <w:szCs w:val="20"/>
        </w:rPr>
        <w:t>s</w:t>
      </w:r>
      <w:r w:rsidR="00537FED">
        <w:rPr>
          <w:color w:val="000000"/>
          <w:sz w:val="20"/>
          <w:szCs w:val="20"/>
        </w:rPr>
        <w:t xml:space="preserve"> under the revised Transparency D</w:t>
      </w:r>
      <w:r w:rsidR="00FF2189" w:rsidRPr="00456109">
        <w:rPr>
          <w:color w:val="000000"/>
          <w:sz w:val="20"/>
          <w:szCs w:val="20"/>
        </w:rPr>
        <w:t>irective.</w:t>
      </w:r>
    </w:p>
    <w:p w:rsidR="00FF2189" w:rsidRPr="00456109" w:rsidRDefault="00C53DF7" w:rsidP="00FC1A2E">
      <w:pPr>
        <w:spacing w:after="180" w:line="240" w:lineRule="auto"/>
        <w:jc w:val="both"/>
        <w:rPr>
          <w:color w:val="000000"/>
          <w:sz w:val="20"/>
          <w:szCs w:val="20"/>
        </w:rPr>
      </w:pPr>
      <w:r w:rsidRPr="00456109">
        <w:rPr>
          <w:color w:val="000000"/>
          <w:sz w:val="20"/>
          <w:szCs w:val="20"/>
        </w:rPr>
        <w:t>We</w:t>
      </w:r>
      <w:r w:rsidR="00FF2189" w:rsidRPr="00456109">
        <w:rPr>
          <w:color w:val="000000"/>
          <w:sz w:val="20"/>
          <w:szCs w:val="20"/>
        </w:rPr>
        <w:t xml:space="preserve"> welcomed some positive developments of the </w:t>
      </w:r>
      <w:r w:rsidR="00537FED" w:rsidRPr="00537FED">
        <w:rPr>
          <w:color w:val="000000"/>
          <w:sz w:val="20"/>
          <w:szCs w:val="20"/>
        </w:rPr>
        <w:t>revised Transparency Directive</w:t>
      </w:r>
      <w:r w:rsidR="00FF2189" w:rsidRPr="00456109">
        <w:rPr>
          <w:color w:val="000000"/>
          <w:sz w:val="20"/>
          <w:szCs w:val="20"/>
        </w:rPr>
        <w:t>, such as the aggregation principle</w:t>
      </w:r>
      <w:r w:rsidR="00FC1A2E">
        <w:rPr>
          <w:color w:val="000000"/>
          <w:sz w:val="20"/>
          <w:szCs w:val="20"/>
        </w:rPr>
        <w:t>, which</w:t>
      </w:r>
      <w:r w:rsidR="00FF2189" w:rsidRPr="00456109">
        <w:rPr>
          <w:color w:val="000000"/>
          <w:sz w:val="20"/>
          <w:szCs w:val="20"/>
        </w:rPr>
        <w:t xml:space="preserve"> provides the ability to include in the notifications the breakdown by the type of financial instrument (i.e. distinction between cash-settled and physically-settled derivatives)</w:t>
      </w:r>
      <w:r w:rsidRPr="00456109">
        <w:rPr>
          <w:color w:val="000000"/>
          <w:sz w:val="20"/>
          <w:szCs w:val="20"/>
        </w:rPr>
        <w:t>.</w:t>
      </w:r>
    </w:p>
    <w:p w:rsidR="00FF2189" w:rsidRPr="00456109" w:rsidRDefault="00C53DF7" w:rsidP="00EF2998">
      <w:pPr>
        <w:spacing w:after="180" w:line="240" w:lineRule="auto"/>
        <w:jc w:val="both"/>
        <w:rPr>
          <w:color w:val="000000"/>
          <w:sz w:val="20"/>
          <w:szCs w:val="20"/>
        </w:rPr>
      </w:pPr>
      <w:r w:rsidRPr="00456109">
        <w:rPr>
          <w:color w:val="000000"/>
          <w:sz w:val="20"/>
          <w:szCs w:val="20"/>
        </w:rPr>
        <w:t>T</w:t>
      </w:r>
      <w:r w:rsidR="00FF2189" w:rsidRPr="00456109">
        <w:rPr>
          <w:color w:val="000000"/>
          <w:sz w:val="20"/>
          <w:szCs w:val="20"/>
        </w:rPr>
        <w:t>he exemptions from notifications for ma</w:t>
      </w:r>
      <w:r w:rsidR="00843BEA">
        <w:rPr>
          <w:color w:val="000000"/>
          <w:sz w:val="20"/>
          <w:szCs w:val="20"/>
        </w:rPr>
        <w:t>rket making activities (under A</w:t>
      </w:r>
      <w:r w:rsidR="00FF2189" w:rsidRPr="00456109">
        <w:rPr>
          <w:color w:val="000000"/>
          <w:sz w:val="20"/>
          <w:szCs w:val="20"/>
        </w:rPr>
        <w:t>rticle 9.5) and trading bo</w:t>
      </w:r>
      <w:r w:rsidR="00843BEA">
        <w:rPr>
          <w:color w:val="000000"/>
          <w:sz w:val="20"/>
          <w:szCs w:val="20"/>
        </w:rPr>
        <w:t>oks (under A</w:t>
      </w:r>
      <w:r w:rsidRPr="00456109">
        <w:rPr>
          <w:color w:val="000000"/>
          <w:sz w:val="20"/>
          <w:szCs w:val="20"/>
        </w:rPr>
        <w:t>rticle 9.6) are also positive developments.</w:t>
      </w:r>
    </w:p>
    <w:p w:rsidR="00C1733E" w:rsidRDefault="00C53DF7" w:rsidP="00054F1B">
      <w:pPr>
        <w:spacing w:after="180" w:line="240" w:lineRule="auto"/>
        <w:jc w:val="both"/>
        <w:rPr>
          <w:color w:val="000000"/>
          <w:sz w:val="20"/>
          <w:szCs w:val="20"/>
        </w:rPr>
      </w:pPr>
      <w:r w:rsidRPr="00456109">
        <w:rPr>
          <w:color w:val="000000"/>
          <w:sz w:val="20"/>
          <w:szCs w:val="20"/>
        </w:rPr>
        <w:t>We are</w:t>
      </w:r>
      <w:r w:rsidR="00FF2189" w:rsidRPr="00456109">
        <w:rPr>
          <w:color w:val="000000"/>
          <w:sz w:val="20"/>
          <w:szCs w:val="20"/>
        </w:rPr>
        <w:t xml:space="preserve"> keen to engage in a constructive dialogue with ESMA and with national regulators on the implementation of the </w:t>
      </w:r>
      <w:r w:rsidR="006F6F09">
        <w:rPr>
          <w:color w:val="000000"/>
          <w:sz w:val="20"/>
          <w:szCs w:val="20"/>
        </w:rPr>
        <w:t>Transparency Directive</w:t>
      </w:r>
      <w:r w:rsidR="00537FED">
        <w:rPr>
          <w:color w:val="000000"/>
          <w:sz w:val="20"/>
          <w:szCs w:val="20"/>
        </w:rPr>
        <w:t>.</w:t>
      </w:r>
    </w:p>
    <w:p w:rsidR="00537FED" w:rsidRPr="00054F1B" w:rsidRDefault="00537FED" w:rsidP="00054F1B">
      <w:pPr>
        <w:spacing w:after="180" w:line="240" w:lineRule="auto"/>
        <w:jc w:val="both"/>
        <w:rPr>
          <w:color w:val="000000"/>
          <w:sz w:val="20"/>
          <w:szCs w:val="20"/>
        </w:rPr>
      </w:pPr>
    </w:p>
    <w:p w:rsidR="00054F1B" w:rsidRPr="00456109" w:rsidRDefault="008B1249" w:rsidP="008B1249">
      <w:pPr>
        <w:pStyle w:val="Default"/>
        <w:jc w:val="both"/>
        <w:rPr>
          <w:rFonts w:ascii="Calibri" w:hAnsi="Calibri"/>
          <w:sz w:val="20"/>
          <w:szCs w:val="20"/>
          <w:lang w:val="en-GB"/>
        </w:rPr>
      </w:pPr>
      <w:r w:rsidRPr="00456109">
        <w:rPr>
          <w:rFonts w:ascii="Calibri" w:hAnsi="Calibri"/>
          <w:sz w:val="20"/>
          <w:szCs w:val="20"/>
          <w:lang w:val="en-GB"/>
        </w:rPr>
        <w:t>AFME represents a broad array of European and global participants in the wholesale financial markets. Its members comprise pan-EU and global banks as well as key regional banks, brokers, law firms, investors and other financial market participants. We advocate stable, competitive, sustainable European financial markets that support economic growth and benefit society.</w:t>
      </w:r>
    </w:p>
    <w:p w:rsidR="00054F1B" w:rsidRPr="00456109" w:rsidRDefault="008B1249" w:rsidP="008B1249">
      <w:pPr>
        <w:pStyle w:val="Default"/>
        <w:jc w:val="both"/>
        <w:rPr>
          <w:rFonts w:ascii="Calibri" w:hAnsi="Calibri"/>
          <w:sz w:val="20"/>
          <w:szCs w:val="20"/>
          <w:lang w:val="en-GB"/>
        </w:rPr>
      </w:pPr>
      <w:r w:rsidRPr="00456109">
        <w:rPr>
          <w:rFonts w:ascii="Calibri" w:hAnsi="Calibri"/>
          <w:sz w:val="20"/>
          <w:szCs w:val="20"/>
          <w:lang w:val="en-GB"/>
        </w:rPr>
        <w:t xml:space="preserve">AFME is the European member of the Global Financial Markets Association (GFMA) a global alliance with the Securities Industry and Financial Markets Association (SIFMA) in the US, and the Asia Securities Industry and Financial Markets Association (ASIFMA) in Asia. </w:t>
      </w:r>
    </w:p>
    <w:p w:rsidR="008B1249" w:rsidRPr="00456109" w:rsidRDefault="008B1249" w:rsidP="008B1249">
      <w:pPr>
        <w:pStyle w:val="Default"/>
        <w:jc w:val="both"/>
        <w:rPr>
          <w:rFonts w:ascii="Calibri" w:hAnsi="Calibri"/>
          <w:sz w:val="20"/>
          <w:szCs w:val="20"/>
          <w:lang w:val="en-GB"/>
        </w:rPr>
      </w:pPr>
      <w:r w:rsidRPr="00456109">
        <w:rPr>
          <w:rFonts w:ascii="Calibri" w:hAnsi="Calibri"/>
          <w:sz w:val="20"/>
          <w:szCs w:val="20"/>
          <w:lang w:val="en-GB"/>
        </w:rPr>
        <w:t>AFME is listed on the EU Register of Interest Representatives, registration number 65110063986-76.</w:t>
      </w:r>
    </w:p>
    <w:p w:rsidR="008B1249" w:rsidRDefault="008B1249" w:rsidP="008B1249">
      <w:pPr>
        <w:spacing w:after="0" w:line="240" w:lineRule="auto"/>
        <w:rPr>
          <w:bCs/>
          <w:sz w:val="20"/>
          <w:szCs w:val="20"/>
          <w:lang w:val="en-US"/>
        </w:rPr>
      </w:pPr>
      <w:bookmarkStart w:id="0" w:name="copy"/>
      <w:bookmarkEnd w:id="0"/>
    </w:p>
    <w:p w:rsidR="00537FED" w:rsidRPr="00456109" w:rsidRDefault="00537FED" w:rsidP="008B1249">
      <w:pPr>
        <w:spacing w:after="0" w:line="240" w:lineRule="auto"/>
        <w:rPr>
          <w:bCs/>
          <w:sz w:val="20"/>
          <w:szCs w:val="20"/>
          <w:lang w:val="en-US"/>
        </w:rPr>
      </w:pPr>
    </w:p>
    <w:p w:rsidR="00054F1B" w:rsidRPr="00456109" w:rsidRDefault="008B1249" w:rsidP="008B1249">
      <w:pPr>
        <w:spacing w:after="0" w:line="240" w:lineRule="auto"/>
        <w:jc w:val="both"/>
        <w:rPr>
          <w:sz w:val="20"/>
          <w:szCs w:val="20"/>
          <w:lang w:val="en-US"/>
        </w:rPr>
      </w:pPr>
      <w:r w:rsidRPr="00456109">
        <w:rPr>
          <w:sz w:val="20"/>
          <w:szCs w:val="20"/>
          <w:lang w:val="en-US"/>
        </w:rPr>
        <w:t>Since 1985, ISDA has worked to make the global over-the-counter (OTC) derivatives markets safer and more efficient. Today, ISDA has over 800 member institutions from 64 countries. These members include a broad range of OTC derivatives market participants including corporations, investment managers, government and supranational entities, insurance companies, energy and commodities firms, and international and regional banks. In addition to market participants, members also include key components of the derivatives market infrastructure including exchanges, clearinghouses and repositories, as well as law firms, accounting firms and other service providers. Information about ISDA and its activities is available on the Association</w:t>
      </w:r>
      <w:r w:rsidR="00054F1B">
        <w:rPr>
          <w:sz w:val="20"/>
          <w:szCs w:val="20"/>
          <w:lang w:val="en-US"/>
        </w:rPr>
        <w:t>'</w:t>
      </w:r>
      <w:r w:rsidRPr="00456109">
        <w:rPr>
          <w:sz w:val="20"/>
          <w:szCs w:val="20"/>
          <w:lang w:val="en-US"/>
        </w:rPr>
        <w:t xml:space="preserve">s web site: </w:t>
      </w:r>
      <w:hyperlink r:id="rId10" w:history="1">
        <w:r w:rsidRPr="00456109">
          <w:rPr>
            <w:rStyle w:val="Hyperlink"/>
            <w:sz w:val="20"/>
            <w:szCs w:val="20"/>
            <w:lang w:val="en-US"/>
          </w:rPr>
          <w:t>www.isda.org</w:t>
        </w:r>
      </w:hyperlink>
      <w:r w:rsidRPr="00456109">
        <w:rPr>
          <w:sz w:val="20"/>
          <w:szCs w:val="20"/>
          <w:lang w:val="en-US"/>
        </w:rPr>
        <w:t xml:space="preserve">. </w:t>
      </w:r>
    </w:p>
    <w:p w:rsidR="008B1249" w:rsidRPr="00DF732A" w:rsidRDefault="008B1249" w:rsidP="008B1249">
      <w:pPr>
        <w:pStyle w:val="Default"/>
        <w:jc w:val="both"/>
        <w:rPr>
          <w:rFonts w:ascii="Calibri" w:hAnsi="Calibri" w:cs="Calibri"/>
          <w:b/>
          <w:color w:val="auto"/>
          <w:sz w:val="20"/>
          <w:szCs w:val="20"/>
          <w:lang w:val="en-GB"/>
        </w:rPr>
      </w:pPr>
      <w:r w:rsidRPr="00456109">
        <w:rPr>
          <w:rFonts w:ascii="Calibri" w:hAnsi="Calibri" w:cs="Calibri"/>
          <w:color w:val="auto"/>
          <w:sz w:val="20"/>
          <w:szCs w:val="20"/>
        </w:rPr>
        <w:t>ISDA is listed on the EU register of interest repre</w:t>
      </w:r>
      <w:r w:rsidR="001D100E" w:rsidRPr="00456109">
        <w:rPr>
          <w:rFonts w:ascii="Calibri" w:hAnsi="Calibri" w:cs="Calibri"/>
          <w:color w:val="auto"/>
          <w:sz w:val="20"/>
          <w:szCs w:val="20"/>
        </w:rPr>
        <w:t xml:space="preserve">sentatives, registration number </w:t>
      </w:r>
      <w:r w:rsidR="001D100E" w:rsidRPr="00456109">
        <w:rPr>
          <w:rFonts w:ascii="Calibri" w:hAnsi="Calibri"/>
          <w:sz w:val="20"/>
          <w:szCs w:val="20"/>
        </w:rPr>
        <w:t>466-43241096-93.</w:t>
      </w:r>
    </w:p>
    <w:p w:rsidR="00A41CAF" w:rsidRDefault="00CB0CC7" w:rsidP="00EF2998">
      <w:pPr>
        <w:spacing w:after="120" w:line="240" w:lineRule="auto"/>
        <w:jc w:val="both"/>
        <w:rPr>
          <w:rFonts w:cs="Calibri"/>
          <w:sz w:val="24"/>
          <w:szCs w:val="24"/>
        </w:rPr>
      </w:pPr>
      <w:r w:rsidRPr="00FF2189">
        <w:rPr>
          <w:rFonts w:cs="Calibri"/>
          <w:sz w:val="24"/>
          <w:szCs w:val="24"/>
        </w:rPr>
        <w:br w:type="page"/>
      </w:r>
    </w:p>
    <w:p w:rsidR="003E6AFF" w:rsidRDefault="00B938DD" w:rsidP="00EF2998">
      <w:pPr>
        <w:spacing w:after="120" w:line="240" w:lineRule="auto"/>
        <w:jc w:val="both"/>
        <w:rPr>
          <w:rFonts w:cs="Calibri"/>
          <w:b/>
          <w:bCs/>
          <w:color w:val="7030A0"/>
          <w:sz w:val="28"/>
          <w:szCs w:val="28"/>
          <w:u w:val="single"/>
          <w:lang w:val="fr-FR"/>
        </w:rPr>
      </w:pPr>
      <w:r w:rsidRPr="003E6AFF">
        <w:rPr>
          <w:rFonts w:cs="Calibri"/>
          <w:b/>
          <w:bCs/>
          <w:noProof/>
          <w:color w:val="7030A0"/>
          <w:sz w:val="28"/>
          <w:szCs w:val="28"/>
          <w:u w:val="single"/>
          <w:lang w:eastAsia="en-GB"/>
        </w:rPr>
        <w:lastRenderedPageBreak/>
        <w:drawing>
          <wp:anchor distT="0" distB="0" distL="114300" distR="114300" simplePos="0" relativeHeight="251660800" behindDoc="1" locked="0" layoutInCell="1" allowOverlap="1">
            <wp:simplePos x="0" y="0"/>
            <wp:positionH relativeFrom="page">
              <wp:posOffset>1258125</wp:posOffset>
            </wp:positionH>
            <wp:positionV relativeFrom="page">
              <wp:posOffset>777875</wp:posOffset>
            </wp:positionV>
            <wp:extent cx="1725295" cy="685800"/>
            <wp:effectExtent l="0" t="0" r="8255" b="0"/>
            <wp:wrapNone/>
            <wp:docPr id="3" name="Picture 1" descr="AF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ME LOGO"/>
                    <pic:cNvPicPr>
                      <a:picLocks noChangeAspect="1" noChangeArrowheads="1"/>
                    </pic:cNvPicPr>
                  </pic:nvPicPr>
                  <pic:blipFill>
                    <a:blip r:embed="rId9" cstate="print"/>
                    <a:srcRect/>
                    <a:stretch>
                      <a:fillRect/>
                    </a:stretch>
                  </pic:blipFill>
                  <pic:spPr bwMode="auto">
                    <a:xfrm>
                      <a:off x="0" y="0"/>
                      <a:ext cx="1725295" cy="685800"/>
                    </a:xfrm>
                    <a:prstGeom prst="rect">
                      <a:avLst/>
                    </a:prstGeom>
                    <a:noFill/>
                    <a:ln w="9525">
                      <a:noFill/>
                      <a:miter lim="800000"/>
                      <a:headEnd/>
                      <a:tailEnd/>
                    </a:ln>
                  </pic:spPr>
                </pic:pic>
              </a:graphicData>
            </a:graphic>
          </wp:anchor>
        </w:drawing>
      </w:r>
      <w:r w:rsidR="00054F1B" w:rsidRPr="003E6AFF">
        <w:rPr>
          <w:rFonts w:cs="Calibri"/>
          <w:b/>
          <w:bCs/>
          <w:noProof/>
          <w:color w:val="7030A0"/>
          <w:sz w:val="28"/>
          <w:szCs w:val="28"/>
          <w:u w:val="single"/>
          <w:lang w:eastAsia="en-GB"/>
        </w:rPr>
        <w:drawing>
          <wp:anchor distT="0" distB="0" distL="114300" distR="114300" simplePos="0" relativeHeight="251661824" behindDoc="1" locked="0" layoutInCell="1" allowOverlap="1">
            <wp:simplePos x="0" y="0"/>
            <wp:positionH relativeFrom="column">
              <wp:posOffset>3148167</wp:posOffset>
            </wp:positionH>
            <wp:positionV relativeFrom="paragraph">
              <wp:posOffset>10160</wp:posOffset>
            </wp:positionV>
            <wp:extent cx="2571750" cy="704850"/>
            <wp:effectExtent l="0" t="0" r="0" b="0"/>
            <wp:wrapNone/>
            <wp:docPr id="4" name="Picture 4" descr="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3"/>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71750" cy="704850"/>
                    </a:xfrm>
                    <a:prstGeom prst="rect">
                      <a:avLst/>
                    </a:prstGeom>
                    <a:noFill/>
                    <a:ln w="9525">
                      <a:noFill/>
                      <a:miter lim="800000"/>
                      <a:headEnd/>
                      <a:tailEnd/>
                    </a:ln>
                  </pic:spPr>
                </pic:pic>
              </a:graphicData>
            </a:graphic>
          </wp:anchor>
        </w:drawing>
      </w:r>
    </w:p>
    <w:p w:rsidR="003E6AFF" w:rsidRDefault="003E6AFF" w:rsidP="00EF2998">
      <w:pPr>
        <w:spacing w:after="120" w:line="240" w:lineRule="auto"/>
        <w:jc w:val="both"/>
        <w:rPr>
          <w:rFonts w:cs="Calibri"/>
          <w:b/>
          <w:bCs/>
          <w:color w:val="7030A0"/>
          <w:sz w:val="28"/>
          <w:szCs w:val="28"/>
          <w:u w:val="single"/>
          <w:lang w:val="fr-FR"/>
        </w:rPr>
      </w:pPr>
    </w:p>
    <w:p w:rsidR="003E6AFF" w:rsidRDefault="003E6AFF" w:rsidP="00EF2998">
      <w:pPr>
        <w:spacing w:after="120" w:line="240" w:lineRule="auto"/>
        <w:jc w:val="both"/>
        <w:rPr>
          <w:rFonts w:cs="Calibri"/>
          <w:b/>
          <w:bCs/>
          <w:color w:val="7030A0"/>
          <w:sz w:val="28"/>
          <w:szCs w:val="28"/>
          <w:u w:val="single"/>
          <w:lang w:val="fr-FR"/>
        </w:rPr>
      </w:pPr>
    </w:p>
    <w:p w:rsidR="00B938DD" w:rsidRDefault="00B938DD" w:rsidP="00EF2998">
      <w:pPr>
        <w:spacing w:after="120" w:line="240" w:lineRule="auto"/>
        <w:jc w:val="both"/>
        <w:rPr>
          <w:rFonts w:cs="Calibri"/>
          <w:b/>
          <w:bCs/>
          <w:color w:val="7030A0"/>
          <w:sz w:val="28"/>
          <w:szCs w:val="28"/>
          <w:u w:val="single"/>
          <w:lang w:val="fr-FR"/>
        </w:rPr>
      </w:pPr>
    </w:p>
    <w:p w:rsidR="0007055C" w:rsidRPr="009C4642" w:rsidRDefault="00B814AA" w:rsidP="00EF2998">
      <w:pPr>
        <w:spacing w:after="120" w:line="240" w:lineRule="auto"/>
        <w:jc w:val="both"/>
        <w:rPr>
          <w:rFonts w:cs="Calibri"/>
          <w:b/>
          <w:bCs/>
          <w:color w:val="7030A0"/>
          <w:sz w:val="28"/>
          <w:szCs w:val="28"/>
          <w:u w:val="single"/>
          <w:lang w:val="fr-FR"/>
        </w:rPr>
      </w:pPr>
      <w:r w:rsidRPr="009C4642">
        <w:rPr>
          <w:rFonts w:cs="Calibri"/>
          <w:b/>
          <w:bCs/>
          <w:color w:val="7030A0"/>
          <w:sz w:val="28"/>
          <w:szCs w:val="28"/>
          <w:u w:val="single"/>
          <w:lang w:val="fr-FR"/>
        </w:rPr>
        <w:t>ANNEX 1</w:t>
      </w:r>
      <w:r w:rsidR="00D12673" w:rsidRPr="009C4642">
        <w:rPr>
          <w:rFonts w:cs="Calibri"/>
          <w:b/>
          <w:bCs/>
          <w:color w:val="7030A0"/>
          <w:sz w:val="28"/>
          <w:szCs w:val="28"/>
          <w:u w:val="single"/>
          <w:lang w:val="fr-FR"/>
        </w:rPr>
        <w:t xml:space="preserve">: </w:t>
      </w:r>
      <w:r w:rsidR="0007055C" w:rsidRPr="009C4642">
        <w:rPr>
          <w:rFonts w:cs="Calibri"/>
          <w:b/>
          <w:bCs/>
          <w:color w:val="7030A0"/>
          <w:sz w:val="28"/>
          <w:szCs w:val="28"/>
          <w:u w:val="single"/>
          <w:lang w:val="fr-FR"/>
        </w:rPr>
        <w:t>CONSULTATION QUESTIONS</w:t>
      </w:r>
      <w:r w:rsidR="00D12673" w:rsidRPr="009C4642">
        <w:rPr>
          <w:rFonts w:cs="Calibri"/>
          <w:b/>
          <w:bCs/>
          <w:color w:val="7030A0"/>
          <w:sz w:val="28"/>
          <w:szCs w:val="28"/>
          <w:u w:val="single"/>
          <w:lang w:val="fr-FR"/>
        </w:rPr>
        <w:t xml:space="preserve"> &amp; RESPONSES</w:t>
      </w:r>
    </w:p>
    <w:p w:rsidR="0007055C" w:rsidRPr="00DF732A" w:rsidRDefault="005F46EE" w:rsidP="00054F1B">
      <w:pPr>
        <w:pStyle w:val="Default"/>
        <w:spacing w:after="180"/>
        <w:jc w:val="both"/>
        <w:rPr>
          <w:rFonts w:ascii="Calibri" w:hAnsi="Calibri" w:cs="Calibri"/>
          <w:b/>
          <w:i/>
          <w:color w:val="7030A0"/>
          <w:sz w:val="28"/>
          <w:szCs w:val="28"/>
          <w:lang w:val="fr-FR"/>
        </w:rPr>
      </w:pPr>
      <w:proofErr w:type="spellStart"/>
      <w:r w:rsidRPr="00DF732A">
        <w:rPr>
          <w:rFonts w:ascii="Calibri" w:hAnsi="Calibri" w:cs="Calibri"/>
          <w:b/>
          <w:i/>
          <w:color w:val="7030A0"/>
          <w:sz w:val="28"/>
          <w:szCs w:val="28"/>
          <w:lang w:val="fr-FR"/>
        </w:rPr>
        <w:t>Aggregation</w:t>
      </w:r>
      <w:proofErr w:type="spellEnd"/>
    </w:p>
    <w:p w:rsidR="00D118A0" w:rsidRPr="00DF732A" w:rsidRDefault="00D118A0" w:rsidP="00054F1B">
      <w:pPr>
        <w:autoSpaceDE w:val="0"/>
        <w:autoSpaceDN w:val="0"/>
        <w:adjustRightInd w:val="0"/>
        <w:spacing w:after="180" w:line="240" w:lineRule="auto"/>
        <w:ind w:right="-20"/>
        <w:jc w:val="both"/>
        <w:rPr>
          <w:rFonts w:cs="Georgia"/>
          <w:b/>
          <w:bCs/>
          <w:i/>
          <w:lang w:eastAsia="en-GB"/>
        </w:rPr>
      </w:pPr>
      <w:r w:rsidRPr="00DF732A">
        <w:rPr>
          <w:rFonts w:cs="Georgia"/>
          <w:b/>
          <w:bCs/>
          <w:i/>
          <w:lang w:eastAsia="en-GB"/>
        </w:rPr>
        <w:t>Q</w:t>
      </w:r>
      <w:r w:rsidRPr="00DF732A">
        <w:rPr>
          <w:rFonts w:cs="Georgia"/>
          <w:b/>
          <w:bCs/>
          <w:i/>
          <w:spacing w:val="1"/>
          <w:lang w:eastAsia="en-GB"/>
        </w:rPr>
        <w:t>1</w:t>
      </w:r>
      <w:r w:rsidRPr="00DF732A">
        <w:rPr>
          <w:rFonts w:cs="Georgia"/>
          <w:b/>
          <w:bCs/>
          <w:i/>
          <w:lang w:eastAsia="en-GB"/>
        </w:rPr>
        <w:t>:</w:t>
      </w:r>
      <w:r w:rsidRPr="00DF732A">
        <w:rPr>
          <w:rFonts w:cs="Georgia"/>
          <w:b/>
          <w:bCs/>
          <w:i/>
          <w:spacing w:val="23"/>
          <w:lang w:eastAsia="en-GB"/>
        </w:rPr>
        <w:t xml:space="preserve"> </w:t>
      </w:r>
      <w:r w:rsidRPr="00DF732A">
        <w:rPr>
          <w:rFonts w:cs="Georgia"/>
          <w:b/>
          <w:bCs/>
          <w:i/>
          <w:lang w:eastAsia="en-GB"/>
        </w:rPr>
        <w:t>Do</w:t>
      </w:r>
      <w:r w:rsidRPr="00DF732A">
        <w:rPr>
          <w:rFonts w:cs="Georgia"/>
          <w:b/>
          <w:bCs/>
          <w:i/>
          <w:spacing w:val="23"/>
          <w:lang w:eastAsia="en-GB"/>
        </w:rPr>
        <w:t xml:space="preserve"> </w:t>
      </w:r>
      <w:r w:rsidRPr="00DF732A">
        <w:rPr>
          <w:rFonts w:cs="Georgia"/>
          <w:b/>
          <w:bCs/>
          <w:i/>
          <w:spacing w:val="1"/>
          <w:lang w:eastAsia="en-GB"/>
        </w:rPr>
        <w:t>y</w:t>
      </w:r>
      <w:r w:rsidRPr="00DF732A">
        <w:rPr>
          <w:rFonts w:cs="Georgia"/>
          <w:b/>
          <w:bCs/>
          <w:i/>
          <w:lang w:eastAsia="en-GB"/>
        </w:rPr>
        <w:t>ou</w:t>
      </w:r>
      <w:r w:rsidRPr="00DF732A">
        <w:rPr>
          <w:rFonts w:cs="Georgia"/>
          <w:b/>
          <w:bCs/>
          <w:i/>
          <w:spacing w:val="24"/>
          <w:lang w:eastAsia="en-GB"/>
        </w:rPr>
        <w:t xml:space="preserve"> </w:t>
      </w:r>
      <w:r w:rsidRPr="00DF732A">
        <w:rPr>
          <w:rFonts w:cs="Georgia"/>
          <w:b/>
          <w:bCs/>
          <w:i/>
          <w:spacing w:val="-1"/>
          <w:lang w:eastAsia="en-GB"/>
        </w:rPr>
        <w:t>a</w:t>
      </w:r>
      <w:r w:rsidRPr="00DF732A">
        <w:rPr>
          <w:rFonts w:cs="Georgia"/>
          <w:b/>
          <w:bCs/>
          <w:i/>
          <w:spacing w:val="2"/>
          <w:lang w:eastAsia="en-GB"/>
        </w:rPr>
        <w:t>g</w:t>
      </w:r>
      <w:r w:rsidRPr="00DF732A">
        <w:rPr>
          <w:rFonts w:cs="Georgia"/>
          <w:b/>
          <w:bCs/>
          <w:i/>
          <w:lang w:eastAsia="en-GB"/>
        </w:rPr>
        <w:t>r</w:t>
      </w:r>
      <w:r w:rsidRPr="00DF732A">
        <w:rPr>
          <w:rFonts w:cs="Georgia"/>
          <w:b/>
          <w:bCs/>
          <w:i/>
          <w:spacing w:val="1"/>
          <w:lang w:eastAsia="en-GB"/>
        </w:rPr>
        <w:t>e</w:t>
      </w:r>
      <w:r w:rsidRPr="00DF732A">
        <w:rPr>
          <w:rFonts w:cs="Georgia"/>
          <w:b/>
          <w:bCs/>
          <w:i/>
          <w:lang w:eastAsia="en-GB"/>
        </w:rPr>
        <w:t>e</w:t>
      </w:r>
      <w:r w:rsidRPr="00DF732A">
        <w:rPr>
          <w:rFonts w:cs="Georgia"/>
          <w:b/>
          <w:bCs/>
          <w:i/>
          <w:spacing w:val="19"/>
          <w:lang w:eastAsia="en-GB"/>
        </w:rPr>
        <w:t xml:space="preserve"> </w:t>
      </w:r>
      <w:r w:rsidRPr="00DF732A">
        <w:rPr>
          <w:rFonts w:cs="Georgia"/>
          <w:b/>
          <w:bCs/>
          <w:i/>
          <w:spacing w:val="2"/>
          <w:lang w:eastAsia="en-GB"/>
        </w:rPr>
        <w:t>t</w:t>
      </w:r>
      <w:r w:rsidRPr="00DF732A">
        <w:rPr>
          <w:rFonts w:cs="Georgia"/>
          <w:b/>
          <w:bCs/>
          <w:i/>
          <w:spacing w:val="1"/>
          <w:lang w:eastAsia="en-GB"/>
        </w:rPr>
        <w:t>h</w:t>
      </w:r>
      <w:r w:rsidRPr="00DF732A">
        <w:rPr>
          <w:rFonts w:cs="Georgia"/>
          <w:b/>
          <w:bCs/>
          <w:i/>
          <w:spacing w:val="-1"/>
          <w:lang w:eastAsia="en-GB"/>
        </w:rPr>
        <w:t>a</w:t>
      </w:r>
      <w:r w:rsidRPr="00DF732A">
        <w:rPr>
          <w:rFonts w:cs="Georgia"/>
          <w:b/>
          <w:bCs/>
          <w:i/>
          <w:lang w:eastAsia="en-GB"/>
        </w:rPr>
        <w:t>t</w:t>
      </w:r>
      <w:r w:rsidRPr="00DF732A">
        <w:rPr>
          <w:rFonts w:cs="Georgia"/>
          <w:b/>
          <w:bCs/>
          <w:i/>
          <w:spacing w:val="22"/>
          <w:lang w:eastAsia="en-GB"/>
        </w:rPr>
        <w:t xml:space="preserve"> </w:t>
      </w:r>
      <w:r w:rsidRPr="00DF732A">
        <w:rPr>
          <w:rFonts w:cs="Georgia"/>
          <w:b/>
          <w:bCs/>
          <w:i/>
          <w:spacing w:val="2"/>
          <w:lang w:eastAsia="en-GB"/>
        </w:rPr>
        <w:t>t</w:t>
      </w:r>
      <w:r w:rsidRPr="00DF732A">
        <w:rPr>
          <w:rFonts w:cs="Georgia"/>
          <w:b/>
          <w:bCs/>
          <w:i/>
          <w:spacing w:val="-1"/>
          <w:lang w:eastAsia="en-GB"/>
        </w:rPr>
        <w:t>h</w:t>
      </w:r>
      <w:r w:rsidRPr="00DF732A">
        <w:rPr>
          <w:rFonts w:cs="Georgia"/>
          <w:b/>
          <w:bCs/>
          <w:i/>
          <w:lang w:eastAsia="en-GB"/>
        </w:rPr>
        <w:t>e</w:t>
      </w:r>
      <w:r w:rsidRPr="00DF732A">
        <w:rPr>
          <w:rFonts w:cs="Georgia"/>
          <w:b/>
          <w:bCs/>
          <w:i/>
          <w:spacing w:val="24"/>
          <w:lang w:eastAsia="en-GB"/>
        </w:rPr>
        <w:t xml:space="preserve"> </w:t>
      </w:r>
      <w:r w:rsidRPr="00DF732A">
        <w:rPr>
          <w:rFonts w:cs="Georgia"/>
          <w:b/>
          <w:bCs/>
          <w:i/>
          <w:lang w:eastAsia="en-GB"/>
        </w:rPr>
        <w:t>t</w:t>
      </w:r>
      <w:r w:rsidRPr="00DF732A">
        <w:rPr>
          <w:rFonts w:cs="Georgia"/>
          <w:b/>
          <w:bCs/>
          <w:i/>
          <w:spacing w:val="2"/>
          <w:lang w:eastAsia="en-GB"/>
        </w:rPr>
        <w:t>r</w:t>
      </w:r>
      <w:r w:rsidRPr="00DF732A">
        <w:rPr>
          <w:rFonts w:cs="Georgia"/>
          <w:b/>
          <w:bCs/>
          <w:i/>
          <w:spacing w:val="-1"/>
          <w:lang w:eastAsia="en-GB"/>
        </w:rPr>
        <w:t>a</w:t>
      </w:r>
      <w:r w:rsidRPr="00DF732A">
        <w:rPr>
          <w:rFonts w:cs="Georgia"/>
          <w:b/>
          <w:bCs/>
          <w:i/>
          <w:spacing w:val="2"/>
          <w:lang w:eastAsia="en-GB"/>
        </w:rPr>
        <w:t>d</w:t>
      </w:r>
      <w:r w:rsidRPr="00DF732A">
        <w:rPr>
          <w:rFonts w:cs="Georgia"/>
          <w:b/>
          <w:bCs/>
          <w:i/>
          <w:spacing w:val="-1"/>
          <w:lang w:eastAsia="en-GB"/>
        </w:rPr>
        <w:t>in</w:t>
      </w:r>
      <w:r w:rsidRPr="00DF732A">
        <w:rPr>
          <w:rFonts w:cs="Georgia"/>
          <w:b/>
          <w:bCs/>
          <w:i/>
          <w:lang w:eastAsia="en-GB"/>
        </w:rPr>
        <w:t>g</w:t>
      </w:r>
      <w:r w:rsidRPr="00DF732A">
        <w:rPr>
          <w:rFonts w:cs="Georgia"/>
          <w:b/>
          <w:bCs/>
          <w:i/>
          <w:spacing w:val="18"/>
          <w:lang w:eastAsia="en-GB"/>
        </w:rPr>
        <w:t xml:space="preserve"> </w:t>
      </w:r>
      <w:r w:rsidRPr="00DF732A">
        <w:rPr>
          <w:rFonts w:cs="Georgia"/>
          <w:b/>
          <w:bCs/>
          <w:i/>
          <w:spacing w:val="1"/>
          <w:lang w:eastAsia="en-GB"/>
        </w:rPr>
        <w:t>b</w:t>
      </w:r>
      <w:r w:rsidRPr="00DF732A">
        <w:rPr>
          <w:rFonts w:cs="Georgia"/>
          <w:b/>
          <w:bCs/>
          <w:i/>
          <w:lang w:eastAsia="en-GB"/>
        </w:rPr>
        <w:t>o</w:t>
      </w:r>
      <w:r w:rsidRPr="00DF732A">
        <w:rPr>
          <w:rFonts w:cs="Georgia"/>
          <w:b/>
          <w:bCs/>
          <w:i/>
          <w:spacing w:val="3"/>
          <w:lang w:eastAsia="en-GB"/>
        </w:rPr>
        <w:t>o</w:t>
      </w:r>
      <w:r w:rsidRPr="00DF732A">
        <w:rPr>
          <w:rFonts w:cs="Georgia"/>
          <w:b/>
          <w:bCs/>
          <w:i/>
          <w:lang w:eastAsia="en-GB"/>
        </w:rPr>
        <w:t>k</w:t>
      </w:r>
      <w:r w:rsidRPr="00DF732A">
        <w:rPr>
          <w:rFonts w:cs="Georgia"/>
          <w:b/>
          <w:bCs/>
          <w:i/>
          <w:spacing w:val="23"/>
          <w:lang w:eastAsia="en-GB"/>
        </w:rPr>
        <w:t xml:space="preserve"> </w:t>
      </w:r>
      <w:r w:rsidRPr="00DF732A">
        <w:rPr>
          <w:rFonts w:cs="Georgia"/>
          <w:b/>
          <w:bCs/>
          <w:i/>
          <w:spacing w:val="-1"/>
          <w:lang w:eastAsia="en-GB"/>
        </w:rPr>
        <w:t>a</w:t>
      </w:r>
      <w:r w:rsidRPr="00DF732A">
        <w:rPr>
          <w:rFonts w:cs="Georgia"/>
          <w:b/>
          <w:bCs/>
          <w:i/>
          <w:spacing w:val="2"/>
          <w:lang w:eastAsia="en-GB"/>
        </w:rPr>
        <w:t>n</w:t>
      </w:r>
      <w:r w:rsidRPr="00DF732A">
        <w:rPr>
          <w:rFonts w:cs="Georgia"/>
          <w:b/>
          <w:bCs/>
          <w:i/>
          <w:lang w:eastAsia="en-GB"/>
        </w:rPr>
        <w:t>d</w:t>
      </w:r>
      <w:r w:rsidRPr="00DF732A">
        <w:rPr>
          <w:rFonts w:cs="Georgia"/>
          <w:b/>
          <w:bCs/>
          <w:i/>
          <w:spacing w:val="22"/>
          <w:lang w:eastAsia="en-GB"/>
        </w:rPr>
        <w:t xml:space="preserve"> </w:t>
      </w:r>
      <w:r w:rsidRPr="00DF732A">
        <w:rPr>
          <w:rFonts w:cs="Georgia"/>
          <w:b/>
          <w:bCs/>
          <w:i/>
          <w:spacing w:val="2"/>
          <w:lang w:eastAsia="en-GB"/>
        </w:rPr>
        <w:t>t</w:t>
      </w:r>
      <w:r w:rsidRPr="00DF732A">
        <w:rPr>
          <w:rFonts w:cs="Georgia"/>
          <w:b/>
          <w:bCs/>
          <w:i/>
          <w:spacing w:val="1"/>
          <w:lang w:eastAsia="en-GB"/>
        </w:rPr>
        <w:t>h</w:t>
      </w:r>
      <w:r w:rsidRPr="00DF732A">
        <w:rPr>
          <w:rFonts w:cs="Georgia"/>
          <w:b/>
          <w:bCs/>
          <w:i/>
          <w:lang w:eastAsia="en-GB"/>
        </w:rPr>
        <w:t>e</w:t>
      </w:r>
      <w:r w:rsidRPr="00DF732A">
        <w:rPr>
          <w:rFonts w:cs="Georgia"/>
          <w:b/>
          <w:bCs/>
          <w:i/>
          <w:spacing w:val="24"/>
          <w:lang w:eastAsia="en-GB"/>
        </w:rPr>
        <w:t xml:space="preserve"> </w:t>
      </w:r>
      <w:r w:rsidRPr="00DF732A">
        <w:rPr>
          <w:rFonts w:cs="Georgia"/>
          <w:b/>
          <w:bCs/>
          <w:i/>
          <w:spacing w:val="-1"/>
          <w:lang w:eastAsia="en-GB"/>
        </w:rPr>
        <w:t>m</w:t>
      </w:r>
      <w:r w:rsidRPr="00DF732A">
        <w:rPr>
          <w:rFonts w:cs="Georgia"/>
          <w:b/>
          <w:bCs/>
          <w:i/>
          <w:spacing w:val="1"/>
          <w:lang w:eastAsia="en-GB"/>
        </w:rPr>
        <w:t>a</w:t>
      </w:r>
      <w:r w:rsidRPr="00DF732A">
        <w:rPr>
          <w:rFonts w:cs="Georgia"/>
          <w:b/>
          <w:bCs/>
          <w:i/>
          <w:lang w:eastAsia="en-GB"/>
        </w:rPr>
        <w:t>r</w:t>
      </w:r>
      <w:r w:rsidRPr="00DF732A">
        <w:rPr>
          <w:rFonts w:cs="Georgia"/>
          <w:b/>
          <w:bCs/>
          <w:i/>
          <w:spacing w:val="1"/>
          <w:lang w:eastAsia="en-GB"/>
        </w:rPr>
        <w:t>k</w:t>
      </w:r>
      <w:r w:rsidRPr="00DF732A">
        <w:rPr>
          <w:rFonts w:cs="Georgia"/>
          <w:b/>
          <w:bCs/>
          <w:i/>
          <w:spacing w:val="-1"/>
          <w:lang w:eastAsia="en-GB"/>
        </w:rPr>
        <w:t>e</w:t>
      </w:r>
      <w:r w:rsidRPr="00DF732A">
        <w:rPr>
          <w:rFonts w:cs="Georgia"/>
          <w:b/>
          <w:bCs/>
          <w:i/>
          <w:lang w:eastAsia="en-GB"/>
        </w:rPr>
        <w:t>t</w:t>
      </w:r>
      <w:r w:rsidRPr="00DF732A">
        <w:rPr>
          <w:rFonts w:cs="Georgia"/>
          <w:b/>
          <w:bCs/>
          <w:i/>
          <w:spacing w:val="20"/>
          <w:lang w:eastAsia="en-GB"/>
        </w:rPr>
        <w:t xml:space="preserve"> </w:t>
      </w:r>
      <w:r w:rsidRPr="00DF732A">
        <w:rPr>
          <w:rFonts w:cs="Georgia"/>
          <w:b/>
          <w:bCs/>
          <w:i/>
          <w:spacing w:val="1"/>
          <w:lang w:eastAsia="en-GB"/>
        </w:rPr>
        <w:t>m</w:t>
      </w:r>
      <w:r w:rsidRPr="00DF732A">
        <w:rPr>
          <w:rFonts w:cs="Georgia"/>
          <w:b/>
          <w:bCs/>
          <w:i/>
          <w:spacing w:val="-1"/>
          <w:lang w:eastAsia="en-GB"/>
        </w:rPr>
        <w:t>a</w:t>
      </w:r>
      <w:r w:rsidRPr="00DF732A">
        <w:rPr>
          <w:rFonts w:cs="Georgia"/>
          <w:b/>
          <w:bCs/>
          <w:i/>
          <w:spacing w:val="1"/>
          <w:lang w:eastAsia="en-GB"/>
        </w:rPr>
        <w:t>k</w:t>
      </w:r>
      <w:r w:rsidRPr="00DF732A">
        <w:rPr>
          <w:rFonts w:cs="Georgia"/>
          <w:b/>
          <w:bCs/>
          <w:i/>
          <w:spacing w:val="-1"/>
          <w:lang w:eastAsia="en-GB"/>
        </w:rPr>
        <w:t>e</w:t>
      </w:r>
      <w:r w:rsidRPr="00DF732A">
        <w:rPr>
          <w:rFonts w:cs="Georgia"/>
          <w:b/>
          <w:bCs/>
          <w:i/>
          <w:lang w:eastAsia="en-GB"/>
        </w:rPr>
        <w:t>r</w:t>
      </w:r>
      <w:r w:rsidRPr="00DF732A">
        <w:rPr>
          <w:rFonts w:cs="Georgia"/>
          <w:b/>
          <w:bCs/>
          <w:i/>
          <w:spacing w:val="28"/>
          <w:lang w:eastAsia="en-GB"/>
        </w:rPr>
        <w:t xml:space="preserve"> </w:t>
      </w:r>
      <w:r w:rsidRPr="00DF732A">
        <w:rPr>
          <w:rFonts w:cs="Georgia"/>
          <w:b/>
          <w:bCs/>
          <w:i/>
          <w:spacing w:val="-1"/>
          <w:lang w:eastAsia="en-GB"/>
        </w:rPr>
        <w:t>h</w:t>
      </w:r>
      <w:r w:rsidRPr="00DF732A">
        <w:rPr>
          <w:rFonts w:cs="Georgia"/>
          <w:b/>
          <w:bCs/>
          <w:i/>
          <w:lang w:eastAsia="en-GB"/>
        </w:rPr>
        <w:t>o</w:t>
      </w:r>
      <w:r w:rsidRPr="00DF732A">
        <w:rPr>
          <w:rFonts w:cs="Georgia"/>
          <w:b/>
          <w:bCs/>
          <w:i/>
          <w:spacing w:val="1"/>
          <w:lang w:eastAsia="en-GB"/>
        </w:rPr>
        <w:t>l</w:t>
      </w:r>
      <w:r w:rsidRPr="00DF732A">
        <w:rPr>
          <w:rFonts w:cs="Georgia"/>
          <w:b/>
          <w:bCs/>
          <w:i/>
          <w:spacing w:val="2"/>
          <w:lang w:eastAsia="en-GB"/>
        </w:rPr>
        <w:t>d</w:t>
      </w:r>
      <w:r w:rsidRPr="00DF732A">
        <w:rPr>
          <w:rFonts w:cs="Georgia"/>
          <w:b/>
          <w:bCs/>
          <w:i/>
          <w:spacing w:val="-1"/>
          <w:lang w:eastAsia="en-GB"/>
        </w:rPr>
        <w:t>i</w:t>
      </w:r>
      <w:r w:rsidRPr="00DF732A">
        <w:rPr>
          <w:rFonts w:cs="Georgia"/>
          <w:b/>
          <w:bCs/>
          <w:i/>
          <w:spacing w:val="2"/>
          <w:lang w:eastAsia="en-GB"/>
        </w:rPr>
        <w:t>n</w:t>
      </w:r>
      <w:r w:rsidRPr="00DF732A">
        <w:rPr>
          <w:rFonts w:cs="Georgia"/>
          <w:b/>
          <w:bCs/>
          <w:i/>
          <w:lang w:eastAsia="en-GB"/>
        </w:rPr>
        <w:t>gs</w:t>
      </w:r>
      <w:r w:rsidRPr="00DF732A">
        <w:rPr>
          <w:rFonts w:cs="Georgia"/>
          <w:b/>
          <w:bCs/>
          <w:i/>
          <w:spacing w:val="18"/>
          <w:lang w:eastAsia="en-GB"/>
        </w:rPr>
        <w:t xml:space="preserve"> </w:t>
      </w:r>
      <w:r w:rsidRPr="00DF732A">
        <w:rPr>
          <w:rFonts w:cs="Georgia"/>
          <w:b/>
          <w:bCs/>
          <w:i/>
          <w:spacing w:val="1"/>
          <w:lang w:eastAsia="en-GB"/>
        </w:rPr>
        <w:t>s</w:t>
      </w:r>
      <w:r w:rsidRPr="00DF732A">
        <w:rPr>
          <w:rFonts w:cs="Georgia"/>
          <w:b/>
          <w:bCs/>
          <w:i/>
          <w:spacing w:val="-1"/>
          <w:lang w:eastAsia="en-GB"/>
        </w:rPr>
        <w:t>h</w:t>
      </w:r>
      <w:r w:rsidRPr="00DF732A">
        <w:rPr>
          <w:rFonts w:cs="Georgia"/>
          <w:b/>
          <w:bCs/>
          <w:i/>
          <w:lang w:eastAsia="en-GB"/>
        </w:rPr>
        <w:t>ou</w:t>
      </w:r>
      <w:r w:rsidRPr="00DF732A">
        <w:rPr>
          <w:rFonts w:cs="Georgia"/>
          <w:b/>
          <w:bCs/>
          <w:i/>
          <w:spacing w:val="1"/>
          <w:lang w:eastAsia="en-GB"/>
        </w:rPr>
        <w:t>l</w:t>
      </w:r>
      <w:r w:rsidRPr="00DF732A">
        <w:rPr>
          <w:rFonts w:cs="Georgia"/>
          <w:b/>
          <w:bCs/>
          <w:i/>
          <w:lang w:eastAsia="en-GB"/>
        </w:rPr>
        <w:t>d</w:t>
      </w:r>
      <w:r w:rsidRPr="00DF732A">
        <w:rPr>
          <w:rFonts w:cs="Georgia"/>
          <w:b/>
          <w:bCs/>
          <w:i/>
          <w:spacing w:val="19"/>
          <w:lang w:eastAsia="en-GB"/>
        </w:rPr>
        <w:t xml:space="preserve"> </w:t>
      </w:r>
      <w:r w:rsidRPr="00DF732A">
        <w:rPr>
          <w:rFonts w:cs="Georgia"/>
          <w:b/>
          <w:bCs/>
          <w:i/>
          <w:spacing w:val="3"/>
          <w:lang w:eastAsia="en-GB"/>
        </w:rPr>
        <w:t>b</w:t>
      </w:r>
      <w:r w:rsidRPr="00DF732A">
        <w:rPr>
          <w:rFonts w:cs="Georgia"/>
          <w:b/>
          <w:bCs/>
          <w:i/>
          <w:lang w:eastAsia="en-GB"/>
        </w:rPr>
        <w:t xml:space="preserve">e </w:t>
      </w:r>
      <w:r w:rsidRPr="00DF732A">
        <w:rPr>
          <w:rFonts w:cs="Georgia"/>
          <w:b/>
          <w:bCs/>
          <w:i/>
          <w:spacing w:val="1"/>
          <w:lang w:eastAsia="en-GB"/>
        </w:rPr>
        <w:t>s</w:t>
      </w:r>
      <w:r w:rsidRPr="00DF732A">
        <w:rPr>
          <w:rFonts w:cs="Georgia"/>
          <w:b/>
          <w:bCs/>
          <w:i/>
          <w:lang w:eastAsia="en-GB"/>
        </w:rPr>
        <w:t>ub</w:t>
      </w:r>
      <w:r w:rsidRPr="00DF732A">
        <w:rPr>
          <w:rFonts w:cs="Georgia"/>
          <w:b/>
          <w:bCs/>
          <w:i/>
          <w:spacing w:val="1"/>
          <w:lang w:eastAsia="en-GB"/>
        </w:rPr>
        <w:t>j</w:t>
      </w:r>
      <w:r w:rsidRPr="00DF732A">
        <w:rPr>
          <w:rFonts w:cs="Georgia"/>
          <w:b/>
          <w:bCs/>
          <w:i/>
          <w:spacing w:val="-1"/>
          <w:lang w:eastAsia="en-GB"/>
        </w:rPr>
        <w:t>e</w:t>
      </w:r>
      <w:r w:rsidRPr="00DF732A">
        <w:rPr>
          <w:rFonts w:cs="Georgia"/>
          <w:b/>
          <w:bCs/>
          <w:i/>
          <w:lang w:eastAsia="en-GB"/>
        </w:rPr>
        <w:t>ct</w:t>
      </w:r>
      <w:r w:rsidRPr="00DF732A">
        <w:rPr>
          <w:rFonts w:cs="Georgia"/>
          <w:b/>
          <w:bCs/>
          <w:i/>
          <w:spacing w:val="-7"/>
          <w:lang w:eastAsia="en-GB"/>
        </w:rPr>
        <w:t xml:space="preserve"> </w:t>
      </w:r>
      <w:r w:rsidRPr="00DF732A">
        <w:rPr>
          <w:rFonts w:cs="Georgia"/>
          <w:b/>
          <w:bCs/>
          <w:i/>
          <w:lang w:eastAsia="en-GB"/>
        </w:rPr>
        <w:t>to</w:t>
      </w:r>
      <w:r w:rsidRPr="00DF732A">
        <w:rPr>
          <w:rFonts w:cs="Georgia"/>
          <w:b/>
          <w:bCs/>
          <w:i/>
          <w:spacing w:val="-2"/>
          <w:lang w:eastAsia="en-GB"/>
        </w:rPr>
        <w:t xml:space="preserve"> </w:t>
      </w:r>
      <w:r w:rsidRPr="00DF732A">
        <w:rPr>
          <w:rFonts w:cs="Georgia"/>
          <w:b/>
          <w:bCs/>
          <w:i/>
          <w:spacing w:val="2"/>
          <w:lang w:eastAsia="en-GB"/>
        </w:rPr>
        <w:t>t</w:t>
      </w:r>
      <w:r w:rsidRPr="00DF732A">
        <w:rPr>
          <w:rFonts w:cs="Georgia"/>
          <w:b/>
          <w:bCs/>
          <w:i/>
          <w:spacing w:val="1"/>
          <w:lang w:eastAsia="en-GB"/>
        </w:rPr>
        <w:t>h</w:t>
      </w:r>
      <w:r w:rsidRPr="00DF732A">
        <w:rPr>
          <w:rFonts w:cs="Georgia"/>
          <w:b/>
          <w:bCs/>
          <w:i/>
          <w:lang w:eastAsia="en-GB"/>
        </w:rPr>
        <w:t>e</w:t>
      </w:r>
      <w:r w:rsidRPr="00DF732A">
        <w:rPr>
          <w:rFonts w:cs="Georgia"/>
          <w:b/>
          <w:bCs/>
          <w:i/>
          <w:spacing w:val="-4"/>
          <w:lang w:eastAsia="en-GB"/>
        </w:rPr>
        <w:t xml:space="preserve"> </w:t>
      </w:r>
      <w:r w:rsidRPr="00DF732A">
        <w:rPr>
          <w:rFonts w:cs="Georgia"/>
          <w:b/>
          <w:bCs/>
          <w:i/>
          <w:spacing w:val="1"/>
          <w:lang w:eastAsia="en-GB"/>
        </w:rPr>
        <w:t>sam</w:t>
      </w:r>
      <w:r w:rsidRPr="00DF732A">
        <w:rPr>
          <w:rFonts w:cs="Georgia"/>
          <w:b/>
          <w:bCs/>
          <w:i/>
          <w:lang w:eastAsia="en-GB"/>
        </w:rPr>
        <w:t>e</w:t>
      </w:r>
      <w:r w:rsidRPr="00DF732A">
        <w:rPr>
          <w:rFonts w:cs="Georgia"/>
          <w:b/>
          <w:bCs/>
          <w:i/>
          <w:spacing w:val="-6"/>
          <w:lang w:eastAsia="en-GB"/>
        </w:rPr>
        <w:t xml:space="preserve"> </w:t>
      </w:r>
      <w:r w:rsidRPr="00DF732A">
        <w:rPr>
          <w:rFonts w:cs="Georgia"/>
          <w:b/>
          <w:bCs/>
          <w:i/>
          <w:spacing w:val="2"/>
          <w:lang w:eastAsia="en-GB"/>
        </w:rPr>
        <w:t>r</w:t>
      </w:r>
      <w:r w:rsidRPr="00DF732A">
        <w:rPr>
          <w:rFonts w:cs="Georgia"/>
          <w:b/>
          <w:bCs/>
          <w:i/>
          <w:spacing w:val="-1"/>
          <w:lang w:eastAsia="en-GB"/>
        </w:rPr>
        <w:t>e</w:t>
      </w:r>
      <w:r w:rsidRPr="00DF732A">
        <w:rPr>
          <w:rFonts w:cs="Georgia"/>
          <w:b/>
          <w:bCs/>
          <w:i/>
          <w:spacing w:val="2"/>
          <w:lang w:eastAsia="en-GB"/>
        </w:rPr>
        <w:t>g</w:t>
      </w:r>
      <w:r w:rsidRPr="00DF732A">
        <w:rPr>
          <w:rFonts w:cs="Georgia"/>
          <w:b/>
          <w:bCs/>
          <w:i/>
          <w:lang w:eastAsia="en-GB"/>
        </w:rPr>
        <w:t>ul</w:t>
      </w:r>
      <w:r w:rsidRPr="00DF732A">
        <w:rPr>
          <w:rFonts w:cs="Georgia"/>
          <w:b/>
          <w:bCs/>
          <w:i/>
          <w:spacing w:val="-1"/>
          <w:lang w:eastAsia="en-GB"/>
        </w:rPr>
        <w:t>a</w:t>
      </w:r>
      <w:r w:rsidRPr="00DF732A">
        <w:rPr>
          <w:rFonts w:cs="Georgia"/>
          <w:b/>
          <w:bCs/>
          <w:i/>
          <w:lang w:eastAsia="en-GB"/>
        </w:rPr>
        <w:t>tory</w:t>
      </w:r>
      <w:r w:rsidRPr="00DF732A">
        <w:rPr>
          <w:rFonts w:cs="Georgia"/>
          <w:b/>
          <w:bCs/>
          <w:i/>
          <w:spacing w:val="-11"/>
          <w:lang w:eastAsia="en-GB"/>
        </w:rPr>
        <w:t xml:space="preserve"> </w:t>
      </w:r>
      <w:r w:rsidRPr="00DF732A">
        <w:rPr>
          <w:rFonts w:cs="Georgia"/>
          <w:b/>
          <w:bCs/>
          <w:i/>
          <w:spacing w:val="2"/>
          <w:lang w:eastAsia="en-GB"/>
        </w:rPr>
        <w:t>t</w:t>
      </w:r>
      <w:r w:rsidRPr="00DF732A">
        <w:rPr>
          <w:rFonts w:cs="Georgia"/>
          <w:b/>
          <w:bCs/>
          <w:i/>
          <w:lang w:eastAsia="en-GB"/>
        </w:rPr>
        <w:t>r</w:t>
      </w:r>
      <w:r w:rsidRPr="00DF732A">
        <w:rPr>
          <w:rFonts w:cs="Georgia"/>
          <w:b/>
          <w:bCs/>
          <w:i/>
          <w:spacing w:val="1"/>
          <w:lang w:eastAsia="en-GB"/>
        </w:rPr>
        <w:t>e</w:t>
      </w:r>
      <w:r w:rsidRPr="00DF732A">
        <w:rPr>
          <w:rFonts w:cs="Georgia"/>
          <w:b/>
          <w:bCs/>
          <w:i/>
          <w:spacing w:val="-1"/>
          <w:lang w:eastAsia="en-GB"/>
        </w:rPr>
        <w:t>a</w:t>
      </w:r>
      <w:r w:rsidRPr="00DF732A">
        <w:rPr>
          <w:rFonts w:cs="Georgia"/>
          <w:b/>
          <w:bCs/>
          <w:i/>
          <w:spacing w:val="2"/>
          <w:lang w:eastAsia="en-GB"/>
        </w:rPr>
        <w:t>t</w:t>
      </w:r>
      <w:r w:rsidRPr="00DF732A">
        <w:rPr>
          <w:rFonts w:cs="Georgia"/>
          <w:b/>
          <w:bCs/>
          <w:i/>
          <w:spacing w:val="-1"/>
          <w:lang w:eastAsia="en-GB"/>
        </w:rPr>
        <w:t>m</w:t>
      </w:r>
      <w:r w:rsidRPr="00DF732A">
        <w:rPr>
          <w:rFonts w:cs="Georgia"/>
          <w:b/>
          <w:bCs/>
          <w:i/>
          <w:spacing w:val="1"/>
          <w:lang w:eastAsia="en-GB"/>
        </w:rPr>
        <w:t>e</w:t>
      </w:r>
      <w:r w:rsidRPr="00DF732A">
        <w:rPr>
          <w:rFonts w:cs="Georgia"/>
          <w:b/>
          <w:bCs/>
          <w:i/>
          <w:spacing w:val="-1"/>
          <w:lang w:eastAsia="en-GB"/>
        </w:rPr>
        <w:t>n</w:t>
      </w:r>
      <w:r w:rsidRPr="00DF732A">
        <w:rPr>
          <w:rFonts w:cs="Georgia"/>
          <w:b/>
          <w:bCs/>
          <w:i/>
          <w:lang w:eastAsia="en-GB"/>
        </w:rPr>
        <w:t>t</w:t>
      </w:r>
      <w:r w:rsidRPr="00DF732A">
        <w:rPr>
          <w:rFonts w:cs="Georgia"/>
          <w:b/>
          <w:bCs/>
          <w:i/>
          <w:spacing w:val="-10"/>
          <w:lang w:eastAsia="en-GB"/>
        </w:rPr>
        <w:t xml:space="preserve"> </w:t>
      </w:r>
      <w:r w:rsidRPr="00DF732A">
        <w:rPr>
          <w:rFonts w:cs="Georgia"/>
          <w:b/>
          <w:bCs/>
          <w:i/>
          <w:spacing w:val="2"/>
          <w:lang w:eastAsia="en-GB"/>
        </w:rPr>
        <w:t>r</w:t>
      </w:r>
      <w:r w:rsidRPr="00DF732A">
        <w:rPr>
          <w:rFonts w:cs="Georgia"/>
          <w:b/>
          <w:bCs/>
          <w:i/>
          <w:spacing w:val="-1"/>
          <w:lang w:eastAsia="en-GB"/>
        </w:rPr>
        <w:t>e</w:t>
      </w:r>
      <w:r w:rsidRPr="00DF732A">
        <w:rPr>
          <w:rFonts w:cs="Georgia"/>
          <w:b/>
          <w:bCs/>
          <w:i/>
          <w:spacing w:val="2"/>
          <w:lang w:eastAsia="en-GB"/>
        </w:rPr>
        <w:t>g</w:t>
      </w:r>
      <w:r w:rsidRPr="00DF732A">
        <w:rPr>
          <w:rFonts w:cs="Georgia"/>
          <w:b/>
          <w:bCs/>
          <w:i/>
          <w:spacing w:val="-1"/>
          <w:lang w:eastAsia="en-GB"/>
        </w:rPr>
        <w:t>a</w:t>
      </w:r>
      <w:r w:rsidRPr="00DF732A">
        <w:rPr>
          <w:rFonts w:cs="Georgia"/>
          <w:b/>
          <w:bCs/>
          <w:i/>
          <w:spacing w:val="2"/>
          <w:lang w:eastAsia="en-GB"/>
        </w:rPr>
        <w:t>r</w:t>
      </w:r>
      <w:r w:rsidRPr="00DF732A">
        <w:rPr>
          <w:rFonts w:cs="Georgia"/>
          <w:b/>
          <w:bCs/>
          <w:i/>
          <w:lang w:eastAsia="en-GB"/>
        </w:rPr>
        <w:t>d</w:t>
      </w:r>
      <w:r w:rsidRPr="00DF732A">
        <w:rPr>
          <w:rFonts w:cs="Georgia"/>
          <w:b/>
          <w:bCs/>
          <w:i/>
          <w:spacing w:val="-1"/>
          <w:lang w:eastAsia="en-GB"/>
        </w:rPr>
        <w:t>in</w:t>
      </w:r>
      <w:r w:rsidRPr="00DF732A">
        <w:rPr>
          <w:rFonts w:cs="Georgia"/>
          <w:b/>
          <w:bCs/>
          <w:i/>
          <w:lang w:eastAsia="en-GB"/>
        </w:rPr>
        <w:t>g</w:t>
      </w:r>
      <w:r w:rsidRPr="00DF732A">
        <w:rPr>
          <w:rFonts w:cs="Georgia"/>
          <w:b/>
          <w:bCs/>
          <w:i/>
          <w:spacing w:val="-8"/>
          <w:lang w:eastAsia="en-GB"/>
        </w:rPr>
        <w:t xml:space="preserve"> </w:t>
      </w:r>
      <w:r w:rsidRPr="00DF732A">
        <w:rPr>
          <w:rFonts w:cs="Georgia"/>
          <w:b/>
          <w:bCs/>
          <w:i/>
          <w:lang w:eastAsia="en-GB"/>
        </w:rPr>
        <w:t>Ar</w:t>
      </w:r>
      <w:r w:rsidRPr="00DF732A">
        <w:rPr>
          <w:rFonts w:cs="Georgia"/>
          <w:b/>
          <w:bCs/>
          <w:i/>
          <w:spacing w:val="2"/>
          <w:lang w:eastAsia="en-GB"/>
        </w:rPr>
        <w:t>t</w:t>
      </w:r>
      <w:r w:rsidRPr="00DF732A">
        <w:rPr>
          <w:rFonts w:cs="Georgia"/>
          <w:b/>
          <w:bCs/>
          <w:i/>
          <w:spacing w:val="-1"/>
          <w:lang w:eastAsia="en-GB"/>
        </w:rPr>
        <w:t>i</w:t>
      </w:r>
      <w:r w:rsidRPr="00DF732A">
        <w:rPr>
          <w:rFonts w:cs="Georgia"/>
          <w:b/>
          <w:bCs/>
          <w:i/>
          <w:lang w:eastAsia="en-GB"/>
        </w:rPr>
        <w:t>c</w:t>
      </w:r>
      <w:r w:rsidRPr="00DF732A">
        <w:rPr>
          <w:rFonts w:cs="Georgia"/>
          <w:b/>
          <w:bCs/>
          <w:i/>
          <w:spacing w:val="1"/>
          <w:lang w:eastAsia="en-GB"/>
        </w:rPr>
        <w:t>l</w:t>
      </w:r>
      <w:r w:rsidRPr="00DF732A">
        <w:rPr>
          <w:rFonts w:cs="Georgia"/>
          <w:b/>
          <w:bCs/>
          <w:i/>
          <w:lang w:eastAsia="en-GB"/>
        </w:rPr>
        <w:t>e</w:t>
      </w:r>
      <w:r w:rsidRPr="00DF732A">
        <w:rPr>
          <w:rFonts w:cs="Georgia"/>
          <w:b/>
          <w:bCs/>
          <w:i/>
          <w:spacing w:val="-8"/>
          <w:lang w:eastAsia="en-GB"/>
        </w:rPr>
        <w:t xml:space="preserve"> </w:t>
      </w:r>
      <w:r w:rsidRPr="00DF732A">
        <w:rPr>
          <w:rFonts w:cs="Georgia"/>
          <w:b/>
          <w:bCs/>
          <w:i/>
          <w:spacing w:val="3"/>
          <w:lang w:eastAsia="en-GB"/>
        </w:rPr>
        <w:t>9</w:t>
      </w:r>
      <w:r w:rsidRPr="00DF732A">
        <w:rPr>
          <w:rFonts w:cs="Georgia"/>
          <w:b/>
          <w:bCs/>
          <w:i/>
          <w:lang w:eastAsia="en-GB"/>
        </w:rPr>
        <w:t>(6</w:t>
      </w:r>
      <w:r w:rsidRPr="00DF732A">
        <w:rPr>
          <w:rFonts w:cs="Georgia"/>
          <w:b/>
          <w:bCs/>
          <w:i/>
          <w:spacing w:val="1"/>
          <w:lang w:eastAsia="en-GB"/>
        </w:rPr>
        <w:t>b</w:t>
      </w:r>
      <w:r w:rsidRPr="00DF732A">
        <w:rPr>
          <w:rFonts w:cs="Georgia"/>
          <w:b/>
          <w:bCs/>
          <w:i/>
          <w:lang w:eastAsia="en-GB"/>
        </w:rPr>
        <w:t>)?</w:t>
      </w:r>
    </w:p>
    <w:p w:rsidR="005F46EE" w:rsidRPr="00E931F4" w:rsidRDefault="00DC6294" w:rsidP="00054F1B">
      <w:pPr>
        <w:autoSpaceDE w:val="0"/>
        <w:autoSpaceDN w:val="0"/>
        <w:adjustRightInd w:val="0"/>
        <w:spacing w:after="180" w:line="240" w:lineRule="auto"/>
        <w:ind w:right="-20"/>
        <w:jc w:val="both"/>
        <w:rPr>
          <w:rFonts w:cs="Georgia"/>
          <w:bCs/>
          <w:lang w:eastAsia="en-GB"/>
        </w:rPr>
      </w:pPr>
      <w:r>
        <w:rPr>
          <w:rFonts w:cs="Georgia"/>
          <w:bCs/>
          <w:lang w:eastAsia="en-GB"/>
        </w:rPr>
        <w:t>We note</w:t>
      </w:r>
      <w:r w:rsidR="00EA7CC3">
        <w:rPr>
          <w:rFonts w:cs="Georgia"/>
          <w:bCs/>
          <w:lang w:eastAsia="en-GB"/>
        </w:rPr>
        <w:t xml:space="preserve"> i</w:t>
      </w:r>
      <w:r w:rsidR="00A41CAF" w:rsidRPr="00E931F4">
        <w:rPr>
          <w:rFonts w:cs="Georgia"/>
          <w:bCs/>
          <w:lang w:eastAsia="en-GB"/>
        </w:rPr>
        <w:t>n</w:t>
      </w:r>
      <w:r w:rsidR="00EA7CC3">
        <w:rPr>
          <w:rFonts w:cs="Georgia"/>
          <w:bCs/>
          <w:lang w:eastAsia="en-GB"/>
        </w:rPr>
        <w:t xml:space="preserve"> respect</w:t>
      </w:r>
      <w:r w:rsidR="00A41CAF" w:rsidRPr="00E931F4">
        <w:rPr>
          <w:rFonts w:cs="Georgia"/>
          <w:bCs/>
          <w:lang w:eastAsia="en-GB"/>
        </w:rPr>
        <w:t xml:space="preserve"> of</w:t>
      </w:r>
      <w:r w:rsidR="00EA7CC3">
        <w:rPr>
          <w:rFonts w:cs="Georgia"/>
          <w:bCs/>
          <w:lang w:eastAsia="en-GB"/>
        </w:rPr>
        <w:t xml:space="preserve"> the</w:t>
      </w:r>
      <w:r w:rsidR="00A41CAF" w:rsidRPr="00E931F4">
        <w:rPr>
          <w:rFonts w:cs="Georgia"/>
          <w:bCs/>
          <w:lang w:eastAsia="en-GB"/>
        </w:rPr>
        <w:t xml:space="preserve"> </w:t>
      </w:r>
      <w:r w:rsidR="00E63398" w:rsidRPr="00E931F4">
        <w:rPr>
          <w:rFonts w:cs="Georgia"/>
          <w:bCs/>
          <w:lang w:eastAsia="en-GB"/>
        </w:rPr>
        <w:t>calculati</w:t>
      </w:r>
      <w:r w:rsidR="00EA7CC3">
        <w:rPr>
          <w:rFonts w:cs="Georgia"/>
          <w:bCs/>
          <w:lang w:eastAsia="en-GB"/>
        </w:rPr>
        <w:t>on of</w:t>
      </w:r>
      <w:r w:rsidR="00E63398" w:rsidRPr="00E931F4">
        <w:rPr>
          <w:rFonts w:cs="Georgia"/>
          <w:bCs/>
          <w:lang w:eastAsia="en-GB"/>
        </w:rPr>
        <w:t xml:space="preserve"> the 5% notification threshold applicable to </w:t>
      </w:r>
      <w:r w:rsidR="00B938DD">
        <w:rPr>
          <w:rFonts w:cs="Georgia"/>
          <w:bCs/>
          <w:lang w:eastAsia="en-GB"/>
        </w:rPr>
        <w:t>(</w:t>
      </w:r>
      <w:proofErr w:type="spellStart"/>
      <w:r w:rsidR="00B938DD">
        <w:rPr>
          <w:rFonts w:cs="Georgia"/>
          <w:bCs/>
          <w:lang w:eastAsia="en-GB"/>
        </w:rPr>
        <w:t>i</w:t>
      </w:r>
      <w:proofErr w:type="spellEnd"/>
      <w:r w:rsidR="00B938DD">
        <w:rPr>
          <w:rFonts w:cs="Georgia"/>
          <w:bCs/>
          <w:lang w:eastAsia="en-GB"/>
        </w:rPr>
        <w:t xml:space="preserve">) </w:t>
      </w:r>
      <w:r w:rsidR="00E63398" w:rsidRPr="00E931F4">
        <w:rPr>
          <w:rFonts w:cs="Georgia"/>
          <w:bCs/>
          <w:lang w:eastAsia="en-GB"/>
        </w:rPr>
        <w:t>acquisitions or d</w:t>
      </w:r>
      <w:r w:rsidR="005F46EE" w:rsidRPr="00E931F4">
        <w:rPr>
          <w:rFonts w:cs="Georgia"/>
          <w:bCs/>
          <w:lang w:eastAsia="en-GB"/>
        </w:rPr>
        <w:t>isposal</w:t>
      </w:r>
      <w:r w:rsidR="00E63398" w:rsidRPr="00E931F4">
        <w:rPr>
          <w:rFonts w:cs="Georgia"/>
          <w:bCs/>
          <w:lang w:eastAsia="en-GB"/>
        </w:rPr>
        <w:t>s</w:t>
      </w:r>
      <w:r w:rsidR="005F46EE" w:rsidRPr="00E931F4">
        <w:rPr>
          <w:rFonts w:cs="Georgia"/>
          <w:bCs/>
          <w:lang w:eastAsia="en-GB"/>
        </w:rPr>
        <w:t xml:space="preserve"> of shares by a </w:t>
      </w:r>
      <w:r w:rsidR="005F46EE" w:rsidRPr="00E931F4">
        <w:rPr>
          <w:rFonts w:cs="Georgia"/>
          <w:bCs/>
          <w:i/>
          <w:lang w:eastAsia="en-GB"/>
        </w:rPr>
        <w:t>market maker</w:t>
      </w:r>
      <w:r w:rsidR="005F46EE" w:rsidRPr="00E931F4">
        <w:rPr>
          <w:rFonts w:cs="Georgia"/>
          <w:bCs/>
          <w:lang w:eastAsia="en-GB"/>
        </w:rPr>
        <w:t xml:space="preserve"> in its capacity </w:t>
      </w:r>
      <w:r w:rsidR="00EA7CC3">
        <w:rPr>
          <w:rFonts w:cs="Georgia"/>
          <w:bCs/>
          <w:lang w:eastAsia="en-GB"/>
        </w:rPr>
        <w:t>as</w:t>
      </w:r>
      <w:r w:rsidR="00EA7CC3" w:rsidRPr="00E931F4">
        <w:rPr>
          <w:rFonts w:cs="Georgia"/>
          <w:bCs/>
          <w:lang w:eastAsia="en-GB"/>
        </w:rPr>
        <w:t xml:space="preserve"> </w:t>
      </w:r>
      <w:r w:rsidR="005F46EE" w:rsidRPr="00E931F4">
        <w:rPr>
          <w:rFonts w:cs="Georgia"/>
          <w:bCs/>
          <w:lang w:eastAsia="en-GB"/>
        </w:rPr>
        <w:t xml:space="preserve">a market maker and </w:t>
      </w:r>
      <w:r>
        <w:rPr>
          <w:rFonts w:cs="Georgia"/>
          <w:bCs/>
          <w:lang w:eastAsia="en-GB"/>
        </w:rPr>
        <w:t>(ii)</w:t>
      </w:r>
      <w:r w:rsidR="00B938DD">
        <w:rPr>
          <w:rFonts w:cs="Georgia"/>
          <w:bCs/>
          <w:lang w:eastAsia="en-GB"/>
        </w:rPr>
        <w:t xml:space="preserve"> </w:t>
      </w:r>
      <w:r w:rsidR="005F46EE" w:rsidRPr="00E931F4">
        <w:rPr>
          <w:rFonts w:cs="Georgia"/>
          <w:bCs/>
          <w:lang w:eastAsia="en-GB"/>
        </w:rPr>
        <w:t xml:space="preserve">voting rights held by a credit institution or investment firm in its </w:t>
      </w:r>
      <w:r w:rsidR="005F46EE" w:rsidRPr="00E931F4">
        <w:rPr>
          <w:rFonts w:cs="Georgia"/>
          <w:bCs/>
          <w:i/>
          <w:lang w:eastAsia="en-GB"/>
        </w:rPr>
        <w:t>trading book</w:t>
      </w:r>
      <w:r w:rsidR="005F46EE" w:rsidRPr="00E931F4">
        <w:rPr>
          <w:rFonts w:cs="Georgia"/>
          <w:bCs/>
          <w:lang w:eastAsia="en-GB"/>
        </w:rPr>
        <w:t>, including in the case of a group</w:t>
      </w:r>
      <w:r w:rsidR="00A41CAF" w:rsidRPr="00E931F4">
        <w:rPr>
          <w:rFonts w:cs="Georgia"/>
          <w:bCs/>
          <w:lang w:eastAsia="en-GB"/>
        </w:rPr>
        <w:t>,</w:t>
      </w:r>
      <w:r w:rsidR="00775CB5">
        <w:rPr>
          <w:rFonts w:cs="Georgia"/>
          <w:bCs/>
          <w:lang w:eastAsia="en-GB"/>
        </w:rPr>
        <w:t xml:space="preserve"> that</w:t>
      </w:r>
      <w:r w:rsidR="00A41CAF" w:rsidRPr="00E931F4">
        <w:rPr>
          <w:rFonts w:cs="Georgia"/>
          <w:bCs/>
          <w:lang w:eastAsia="en-GB"/>
        </w:rPr>
        <w:t xml:space="preserve"> ESMA </w:t>
      </w:r>
      <w:r w:rsidR="00E63398" w:rsidRPr="00E931F4">
        <w:rPr>
          <w:rFonts w:cs="Georgia"/>
          <w:bCs/>
          <w:lang w:eastAsia="en-GB"/>
        </w:rPr>
        <w:t xml:space="preserve">concludes that the formal differences between market making and trading book do not justify different </w:t>
      </w:r>
      <w:r w:rsidR="00EA7CC3" w:rsidRPr="002E7490">
        <w:rPr>
          <w:rFonts w:cs="Georgia"/>
          <w:bCs/>
          <w:lang w:eastAsia="en-GB"/>
        </w:rPr>
        <w:t xml:space="preserve">regulatory </w:t>
      </w:r>
      <w:r w:rsidR="00E63398" w:rsidRPr="00E931F4">
        <w:rPr>
          <w:rFonts w:cs="Georgia"/>
          <w:bCs/>
          <w:lang w:eastAsia="en-GB"/>
        </w:rPr>
        <w:t>approaches to the market making a</w:t>
      </w:r>
      <w:r w:rsidR="00A41CAF" w:rsidRPr="00E931F4">
        <w:rPr>
          <w:rFonts w:cs="Georgia"/>
          <w:bCs/>
          <w:lang w:eastAsia="en-GB"/>
        </w:rPr>
        <w:t>nd the trading book exemptions</w:t>
      </w:r>
      <w:r w:rsidR="001365A1">
        <w:rPr>
          <w:rFonts w:cs="Georgia"/>
          <w:bCs/>
          <w:lang w:eastAsia="en-GB"/>
        </w:rPr>
        <w:t xml:space="preserve"> and that the RTS should follow a common approach for the two exemptions</w:t>
      </w:r>
      <w:r w:rsidR="000D4002">
        <w:rPr>
          <w:rFonts w:cs="Georgia"/>
          <w:bCs/>
          <w:lang w:eastAsia="en-GB"/>
        </w:rPr>
        <w:t xml:space="preserve"> </w:t>
      </w:r>
      <w:r w:rsidR="000D4002" w:rsidRPr="00F54276">
        <w:rPr>
          <w:rFonts w:cs="Georgia"/>
        </w:rPr>
        <w:t xml:space="preserve">(although </w:t>
      </w:r>
      <w:r w:rsidR="000D4002">
        <w:rPr>
          <w:rFonts w:cs="Georgia"/>
        </w:rPr>
        <w:t>noting</w:t>
      </w:r>
      <w:r w:rsidR="000D4002" w:rsidRPr="00F54276">
        <w:rPr>
          <w:rFonts w:cs="Georgia"/>
        </w:rPr>
        <w:t xml:space="preserve"> that the requirements for the two exemptions are not identical</w:t>
      </w:r>
      <w:r w:rsidR="000D4002">
        <w:rPr>
          <w:rFonts w:cs="Georgia"/>
        </w:rPr>
        <w:t>,</w:t>
      </w:r>
      <w:r w:rsidR="000D4002" w:rsidRPr="00F54276">
        <w:rPr>
          <w:rFonts w:cs="Georgia"/>
        </w:rPr>
        <w:t xml:space="preserve"> </w:t>
      </w:r>
      <w:r w:rsidR="000D4002">
        <w:rPr>
          <w:rFonts w:cs="Georgia"/>
        </w:rPr>
        <w:t>in that Article 6 of the Commission Directive sets out control mechanisms specific to market makers)</w:t>
      </w:r>
      <w:r w:rsidR="000D4002" w:rsidRPr="00E931F4">
        <w:rPr>
          <w:rFonts w:cs="Georgia"/>
        </w:rPr>
        <w:t>.</w:t>
      </w:r>
      <w:r w:rsidR="001365A1">
        <w:rPr>
          <w:rFonts w:cs="Georgia"/>
          <w:bCs/>
          <w:lang w:eastAsia="en-GB"/>
        </w:rPr>
        <w:t xml:space="preserve">  </w:t>
      </w:r>
      <w:r w:rsidR="00E63398" w:rsidRPr="00E931F4">
        <w:rPr>
          <w:rFonts w:cs="Georgia"/>
          <w:bCs/>
          <w:lang w:eastAsia="en-GB"/>
        </w:rPr>
        <w:t>As a result, ESMA considers that a credit institution or an investment firm applying for the trading book and the market making exemption should comply with the same organisational requirements.</w:t>
      </w:r>
    </w:p>
    <w:p w:rsidR="001365A1" w:rsidRDefault="00C53DF7" w:rsidP="00054F1B">
      <w:pPr>
        <w:autoSpaceDE w:val="0"/>
        <w:autoSpaceDN w:val="0"/>
        <w:adjustRightInd w:val="0"/>
        <w:spacing w:after="180" w:line="240" w:lineRule="auto"/>
        <w:ind w:right="-20"/>
        <w:jc w:val="both"/>
        <w:rPr>
          <w:rFonts w:cs="Georgia"/>
          <w:bCs/>
          <w:lang w:eastAsia="en-GB"/>
        </w:rPr>
      </w:pPr>
      <w:r w:rsidRPr="00E931F4">
        <w:rPr>
          <w:rFonts w:cs="Georgia"/>
        </w:rPr>
        <w:t xml:space="preserve">We agree that positions in the trading book and the market making book should be calculated in the same way for purposes of </w:t>
      </w:r>
      <w:r w:rsidR="00BC3BB8">
        <w:rPr>
          <w:rFonts w:cs="Georgia"/>
        </w:rPr>
        <w:t>Article 9</w:t>
      </w:r>
      <w:r w:rsidR="00054F1B">
        <w:rPr>
          <w:rFonts w:cs="Georgia"/>
        </w:rPr>
        <w:t>(6b)</w:t>
      </w:r>
      <w:r w:rsidR="000D4002">
        <w:rPr>
          <w:rFonts w:cs="Georgia"/>
        </w:rPr>
        <w:t>.</w:t>
      </w:r>
      <w:r w:rsidR="00F54276" w:rsidRPr="00F54276">
        <w:t xml:space="preserve"> </w:t>
      </w:r>
      <w:r w:rsidRPr="00E931F4">
        <w:rPr>
          <w:rFonts w:cs="Georgia"/>
        </w:rPr>
        <w:t>The</w:t>
      </w:r>
      <w:r w:rsidR="001365A1">
        <w:rPr>
          <w:rFonts w:cs="Georgia"/>
        </w:rPr>
        <w:t xml:space="preserve"> relevant</w:t>
      </w:r>
      <w:r w:rsidRPr="00E931F4">
        <w:rPr>
          <w:rFonts w:cs="Georgia"/>
        </w:rPr>
        <w:t xml:space="preserve"> activities have similar organisational requirements</w:t>
      </w:r>
      <w:r w:rsidR="001365A1">
        <w:rPr>
          <w:rFonts w:cs="Georgia"/>
        </w:rPr>
        <w:t>,</w:t>
      </w:r>
      <w:r w:rsidRPr="00E931F4">
        <w:rPr>
          <w:rFonts w:cs="Georgia"/>
        </w:rPr>
        <w:t xml:space="preserve"> which allow respective firms to assess holdings in each category</w:t>
      </w:r>
      <w:r w:rsidR="001365A1">
        <w:rPr>
          <w:rFonts w:cs="Georgia"/>
        </w:rPr>
        <w:t xml:space="preserve"> in the same way</w:t>
      </w:r>
      <w:r w:rsidRPr="00E931F4">
        <w:rPr>
          <w:rFonts w:cs="Georgia"/>
        </w:rPr>
        <w:t>.</w:t>
      </w:r>
      <w:r w:rsidR="0051321B" w:rsidRPr="00E931F4">
        <w:rPr>
          <w:rFonts w:cs="Georgia"/>
          <w:bCs/>
          <w:lang w:eastAsia="en-GB"/>
        </w:rPr>
        <w:t xml:space="preserve"> </w:t>
      </w:r>
    </w:p>
    <w:p w:rsidR="0051321B" w:rsidRPr="00E931F4" w:rsidRDefault="0051321B" w:rsidP="00054F1B">
      <w:pPr>
        <w:autoSpaceDE w:val="0"/>
        <w:autoSpaceDN w:val="0"/>
        <w:adjustRightInd w:val="0"/>
        <w:spacing w:after="180" w:line="240" w:lineRule="auto"/>
        <w:ind w:right="-20"/>
        <w:jc w:val="both"/>
        <w:rPr>
          <w:rFonts w:cs="Georgia"/>
          <w:bCs/>
          <w:lang w:eastAsia="en-GB"/>
        </w:rPr>
      </w:pPr>
      <w:r w:rsidRPr="00E931F4">
        <w:rPr>
          <w:rFonts w:cs="Georgia"/>
          <w:bCs/>
          <w:lang w:eastAsia="en-GB"/>
        </w:rPr>
        <w:t>We also support that non</w:t>
      </w:r>
      <w:r w:rsidR="00EA7CC3">
        <w:rPr>
          <w:rFonts w:cs="Georgia"/>
          <w:bCs/>
          <w:lang w:eastAsia="en-GB"/>
        </w:rPr>
        <w:t>-</w:t>
      </w:r>
      <w:r w:rsidRPr="00E931F4">
        <w:rPr>
          <w:rFonts w:cs="Georgia"/>
          <w:bCs/>
          <w:lang w:eastAsia="en-GB"/>
        </w:rPr>
        <w:t>EU entities are able to use these exemptions</w:t>
      </w:r>
      <w:r w:rsidR="00BC3BB8">
        <w:rPr>
          <w:rFonts w:cs="Georgia"/>
          <w:bCs/>
          <w:lang w:eastAsia="en-GB"/>
        </w:rPr>
        <w:t>.</w:t>
      </w:r>
    </w:p>
    <w:p w:rsidR="0051321B" w:rsidRPr="00E931F4" w:rsidRDefault="001365A1" w:rsidP="00054F1B">
      <w:pPr>
        <w:autoSpaceDE w:val="0"/>
        <w:autoSpaceDN w:val="0"/>
        <w:adjustRightInd w:val="0"/>
        <w:spacing w:after="180" w:line="240" w:lineRule="auto"/>
        <w:ind w:right="-20"/>
        <w:jc w:val="both"/>
        <w:rPr>
          <w:rFonts w:cs="Georgia"/>
          <w:bCs/>
          <w:lang w:eastAsia="en-GB"/>
        </w:rPr>
      </w:pPr>
      <w:r>
        <w:rPr>
          <w:rFonts w:cs="Georgia"/>
          <w:bCs/>
          <w:lang w:eastAsia="en-GB"/>
        </w:rPr>
        <w:t>In addition, w</w:t>
      </w:r>
      <w:r w:rsidR="0051321B" w:rsidRPr="00E931F4">
        <w:rPr>
          <w:rFonts w:cs="Georgia"/>
          <w:bCs/>
          <w:lang w:eastAsia="en-GB"/>
        </w:rPr>
        <w:t>e would welcome a confirmation that</w:t>
      </w:r>
      <w:r>
        <w:rPr>
          <w:rFonts w:cs="Georgia"/>
          <w:bCs/>
          <w:lang w:eastAsia="en-GB"/>
        </w:rPr>
        <w:t xml:space="preserve"> under</w:t>
      </w:r>
      <w:r w:rsidR="0051321B" w:rsidRPr="00E931F4">
        <w:rPr>
          <w:rFonts w:cs="Georgia"/>
          <w:bCs/>
          <w:lang w:eastAsia="en-GB"/>
        </w:rPr>
        <w:t xml:space="preserve"> the trading book exemption the first disclos</w:t>
      </w:r>
      <w:r>
        <w:rPr>
          <w:rFonts w:cs="Georgia"/>
          <w:bCs/>
          <w:lang w:eastAsia="en-GB"/>
        </w:rPr>
        <w:t>ure</w:t>
      </w:r>
      <w:r w:rsidR="0051321B" w:rsidRPr="00E931F4">
        <w:rPr>
          <w:rFonts w:cs="Georgia"/>
          <w:bCs/>
          <w:lang w:eastAsia="en-GB"/>
        </w:rPr>
        <w:t xml:space="preserve"> threshold</w:t>
      </w:r>
      <w:r>
        <w:rPr>
          <w:rFonts w:cs="Georgia"/>
          <w:bCs/>
          <w:lang w:eastAsia="en-GB"/>
        </w:rPr>
        <w:t xml:space="preserve"> that applies to</w:t>
      </w:r>
      <w:r w:rsidR="0051321B" w:rsidRPr="00E931F4">
        <w:rPr>
          <w:rFonts w:cs="Georgia"/>
          <w:bCs/>
          <w:lang w:eastAsia="en-GB"/>
        </w:rPr>
        <w:t xml:space="preserve"> holdings exceeding 5% is 10% or the next disclos</w:t>
      </w:r>
      <w:r>
        <w:rPr>
          <w:rFonts w:cs="Georgia"/>
          <w:bCs/>
          <w:lang w:eastAsia="en-GB"/>
        </w:rPr>
        <w:t>ure</w:t>
      </w:r>
      <w:r w:rsidR="0051321B" w:rsidRPr="00E931F4">
        <w:rPr>
          <w:rFonts w:cs="Georgia"/>
          <w:bCs/>
          <w:lang w:eastAsia="en-GB"/>
        </w:rPr>
        <w:t xml:space="preserve"> threshold after 5% for jurisdictions</w:t>
      </w:r>
      <w:r w:rsidR="006F6F09">
        <w:rPr>
          <w:rFonts w:cs="Georgia"/>
          <w:bCs/>
          <w:lang w:eastAsia="en-GB"/>
        </w:rPr>
        <w:t xml:space="preserve"> </w:t>
      </w:r>
      <w:r>
        <w:rPr>
          <w:rFonts w:cs="Georgia"/>
          <w:bCs/>
          <w:lang w:eastAsia="en-GB"/>
        </w:rPr>
        <w:t>that apply thresholds between 5% and 10%</w:t>
      </w:r>
      <w:r w:rsidR="0051321B" w:rsidRPr="00E931F4">
        <w:rPr>
          <w:rFonts w:cs="Georgia"/>
          <w:bCs/>
          <w:lang w:eastAsia="en-GB"/>
        </w:rPr>
        <w:t>.</w:t>
      </w:r>
    </w:p>
    <w:p w:rsidR="00D118A0" w:rsidRPr="00DF732A" w:rsidRDefault="00D118A0" w:rsidP="00054F1B">
      <w:pPr>
        <w:pStyle w:val="Default"/>
        <w:spacing w:after="180"/>
        <w:jc w:val="both"/>
        <w:rPr>
          <w:rFonts w:ascii="Calibri" w:hAnsi="Calibri" w:cs="Georgia"/>
          <w:b/>
          <w:i/>
          <w:sz w:val="22"/>
          <w:szCs w:val="22"/>
          <w:lang w:val="en-GB" w:eastAsia="en-GB"/>
        </w:rPr>
      </w:pPr>
      <w:r w:rsidRPr="00DF732A">
        <w:rPr>
          <w:rFonts w:ascii="Calibri" w:hAnsi="Calibri" w:cs="Georgia"/>
          <w:b/>
          <w:bCs/>
          <w:i/>
          <w:sz w:val="22"/>
          <w:szCs w:val="22"/>
          <w:lang w:eastAsia="en-GB"/>
        </w:rPr>
        <w:t xml:space="preserve">Q2: If not, please identify reasons and provide quantitative evidence for treating </w:t>
      </w:r>
      <w:r w:rsidRPr="00DF732A">
        <w:rPr>
          <w:rFonts w:ascii="Calibri" w:hAnsi="Calibri" w:cs="Georgia"/>
          <w:b/>
          <w:bCs/>
          <w:i/>
          <w:sz w:val="22"/>
          <w:szCs w:val="22"/>
          <w:lang w:val="en-GB" w:eastAsia="en-GB"/>
        </w:rPr>
        <w:t xml:space="preserve">trading book and market making holdings differently? </w:t>
      </w:r>
    </w:p>
    <w:p w:rsidR="00E63398" w:rsidRPr="00DF732A" w:rsidRDefault="00E931F4" w:rsidP="00054F1B">
      <w:pPr>
        <w:autoSpaceDE w:val="0"/>
        <w:autoSpaceDN w:val="0"/>
        <w:adjustRightInd w:val="0"/>
        <w:spacing w:after="180" w:line="240" w:lineRule="auto"/>
        <w:ind w:right="-20"/>
        <w:jc w:val="both"/>
        <w:rPr>
          <w:rFonts w:cs="Georgia"/>
          <w:bCs/>
          <w:i/>
          <w:lang w:eastAsia="en-GB"/>
        </w:rPr>
      </w:pPr>
      <w:r>
        <w:rPr>
          <w:rFonts w:cs="Georgia"/>
        </w:rPr>
        <w:t>Please s</w:t>
      </w:r>
      <w:r w:rsidR="00C53DF7" w:rsidRPr="00DF732A">
        <w:rPr>
          <w:rFonts w:cs="Georgia"/>
        </w:rPr>
        <w:t>ee answer to Q1.</w:t>
      </w:r>
    </w:p>
    <w:p w:rsidR="00E63398" w:rsidRPr="00DF732A" w:rsidRDefault="00A3366B" w:rsidP="00054F1B">
      <w:pPr>
        <w:autoSpaceDE w:val="0"/>
        <w:autoSpaceDN w:val="0"/>
        <w:adjustRightInd w:val="0"/>
        <w:spacing w:after="180" w:line="240" w:lineRule="auto"/>
        <w:ind w:right="-20"/>
        <w:jc w:val="both"/>
        <w:rPr>
          <w:rFonts w:cs="Georgia"/>
          <w:b/>
          <w:bCs/>
          <w:i/>
          <w:color w:val="7030A0"/>
          <w:sz w:val="28"/>
          <w:szCs w:val="28"/>
          <w:lang w:eastAsia="en-GB"/>
        </w:rPr>
      </w:pPr>
      <w:r w:rsidRPr="00DF732A">
        <w:rPr>
          <w:rFonts w:cs="Georgia"/>
          <w:b/>
          <w:bCs/>
          <w:i/>
          <w:color w:val="7030A0"/>
          <w:sz w:val="28"/>
          <w:szCs w:val="28"/>
          <w:lang w:eastAsia="en-GB"/>
        </w:rPr>
        <w:t>Horizontal aggregation</w:t>
      </w:r>
    </w:p>
    <w:p w:rsidR="00D118A0" w:rsidRPr="00DF732A" w:rsidRDefault="00D118A0" w:rsidP="00054F1B">
      <w:pPr>
        <w:autoSpaceDE w:val="0"/>
        <w:autoSpaceDN w:val="0"/>
        <w:adjustRightInd w:val="0"/>
        <w:spacing w:after="180" w:line="240" w:lineRule="auto"/>
        <w:jc w:val="both"/>
        <w:rPr>
          <w:rFonts w:cs="Georgia"/>
          <w:b/>
          <w:bCs/>
          <w:i/>
          <w:color w:val="000000"/>
          <w:lang w:eastAsia="en-GB"/>
        </w:rPr>
      </w:pPr>
      <w:r w:rsidRPr="00DF732A">
        <w:rPr>
          <w:rFonts w:cs="Georgia"/>
          <w:b/>
          <w:bCs/>
          <w:i/>
          <w:color w:val="000000"/>
          <w:lang w:eastAsia="en-GB"/>
        </w:rPr>
        <w:t xml:space="preserve">Q3: Do you agree with the ESMA proposal of aggregating voting rights held directly or indirectly under Articles 9 and 10 with the number of voting rights relating to financial instruments held under Article 13 for the purposes of </w:t>
      </w:r>
      <w:r w:rsidR="00A3366B" w:rsidRPr="00DF732A">
        <w:rPr>
          <w:rFonts w:cs="Georgia"/>
          <w:b/>
          <w:bCs/>
          <w:i/>
          <w:color w:val="000000"/>
          <w:lang w:eastAsia="en-GB"/>
        </w:rPr>
        <w:t>calculation of the threshold re</w:t>
      </w:r>
      <w:r w:rsidRPr="00DF732A">
        <w:rPr>
          <w:rFonts w:cs="Georgia"/>
          <w:b/>
          <w:bCs/>
          <w:i/>
          <w:color w:val="000000"/>
          <w:lang w:eastAsia="en-GB"/>
        </w:rPr>
        <w:t xml:space="preserve">ferred to in Article 9(5) and (6)? If not, please state your reasons. </w:t>
      </w:r>
    </w:p>
    <w:p w:rsidR="00C83879" w:rsidRPr="00E931F4" w:rsidRDefault="008F1E30" w:rsidP="00054F1B">
      <w:pPr>
        <w:autoSpaceDE w:val="0"/>
        <w:autoSpaceDN w:val="0"/>
        <w:adjustRightInd w:val="0"/>
        <w:spacing w:after="180" w:line="240" w:lineRule="auto"/>
        <w:jc w:val="both"/>
        <w:rPr>
          <w:rFonts w:cs="Georgia"/>
          <w:lang w:eastAsia="en-GB"/>
        </w:rPr>
      </w:pPr>
      <w:r>
        <w:rPr>
          <w:rFonts w:cs="Georgia"/>
          <w:lang w:eastAsia="en-GB"/>
        </w:rPr>
        <w:t>We broadly agree with the proposal o</w:t>
      </w:r>
      <w:r w:rsidR="00763805">
        <w:rPr>
          <w:rFonts w:cs="Georgia"/>
          <w:lang w:eastAsia="en-GB"/>
        </w:rPr>
        <w:t>f</w:t>
      </w:r>
      <w:r w:rsidR="00A41CAF" w:rsidRPr="00E931F4">
        <w:rPr>
          <w:rFonts w:cs="Georgia"/>
        </w:rPr>
        <w:t xml:space="preserve"> measuring the aggregate voting rights under </w:t>
      </w:r>
      <w:r>
        <w:rPr>
          <w:rFonts w:cs="Georgia"/>
        </w:rPr>
        <w:t>A</w:t>
      </w:r>
      <w:r w:rsidR="00A41CAF" w:rsidRPr="00E931F4">
        <w:rPr>
          <w:rFonts w:cs="Georgia"/>
        </w:rPr>
        <w:t xml:space="preserve">rticles 9, 10, 13 against the thresholds stipulated under Articles 9(5) and </w:t>
      </w:r>
      <w:r>
        <w:rPr>
          <w:rFonts w:cs="Georgia"/>
        </w:rPr>
        <w:t>9</w:t>
      </w:r>
      <w:r w:rsidR="00A41CAF" w:rsidRPr="00E931F4">
        <w:rPr>
          <w:rFonts w:cs="Georgia"/>
        </w:rPr>
        <w:t>(6)</w:t>
      </w:r>
      <w:r>
        <w:rPr>
          <w:rFonts w:cs="Georgia"/>
        </w:rPr>
        <w:t xml:space="preserve"> in order</w:t>
      </w:r>
      <w:r w:rsidR="00A41CAF" w:rsidRPr="00E931F4">
        <w:rPr>
          <w:rFonts w:cs="Georgia"/>
        </w:rPr>
        <w:t xml:space="preserve"> to determine whether any disclosure obligation exists</w:t>
      </w:r>
      <w:r w:rsidR="00A41CAF" w:rsidRPr="00591E84">
        <w:rPr>
          <w:rFonts w:cs="Georgia"/>
          <w:lang w:eastAsia="en-GB"/>
        </w:rPr>
        <w:t>.</w:t>
      </w:r>
    </w:p>
    <w:p w:rsidR="00061158" w:rsidRDefault="006F6F09" w:rsidP="00054F1B">
      <w:pPr>
        <w:autoSpaceDE w:val="0"/>
        <w:autoSpaceDN w:val="0"/>
        <w:adjustRightInd w:val="0"/>
        <w:spacing w:after="180" w:line="240" w:lineRule="auto"/>
        <w:jc w:val="both"/>
        <w:rPr>
          <w:rFonts w:cs="Georgia"/>
          <w:lang w:eastAsia="en-GB"/>
        </w:rPr>
      </w:pPr>
      <w:r w:rsidRPr="006F6F09">
        <w:rPr>
          <w:rFonts w:cs="Georgia"/>
          <w:lang w:eastAsia="en-GB"/>
        </w:rPr>
        <w:t>However, for the purposes of the breakdown to be included in the form of notification, we believe that the following two categories should be</w:t>
      </w:r>
      <w:r>
        <w:rPr>
          <w:rFonts w:cs="Georgia"/>
          <w:lang w:eastAsia="en-GB"/>
        </w:rPr>
        <w:t xml:space="preserve"> applied</w:t>
      </w:r>
      <w:r w:rsidR="00A3366B" w:rsidRPr="00E931F4">
        <w:rPr>
          <w:rFonts w:cs="Georgia"/>
          <w:lang w:eastAsia="en-GB"/>
        </w:rPr>
        <w:t xml:space="preserve">: </w:t>
      </w:r>
      <w:r w:rsidR="00EC4EB1">
        <w:rPr>
          <w:rFonts w:cs="Georgia"/>
          <w:lang w:eastAsia="en-GB"/>
        </w:rPr>
        <w:t>(</w:t>
      </w:r>
      <w:proofErr w:type="spellStart"/>
      <w:r w:rsidR="00EC4EB1">
        <w:rPr>
          <w:rFonts w:cs="Georgia"/>
          <w:lang w:eastAsia="en-GB"/>
        </w:rPr>
        <w:t>i</w:t>
      </w:r>
      <w:proofErr w:type="spellEnd"/>
      <w:r w:rsidR="00591E84">
        <w:rPr>
          <w:rFonts w:cs="Georgia"/>
          <w:lang w:eastAsia="en-GB"/>
        </w:rPr>
        <w:t xml:space="preserve">) </w:t>
      </w:r>
      <w:r>
        <w:rPr>
          <w:rFonts w:cs="Georgia"/>
          <w:lang w:eastAsia="en-GB"/>
        </w:rPr>
        <w:t xml:space="preserve">voting rights </w:t>
      </w:r>
      <w:proofErr w:type="gramStart"/>
      <w:r w:rsidR="00591E84">
        <w:rPr>
          <w:rFonts w:cs="Georgia"/>
          <w:lang w:eastAsia="en-GB"/>
        </w:rPr>
        <w:t xml:space="preserve">under </w:t>
      </w:r>
      <w:r>
        <w:rPr>
          <w:rFonts w:cs="Georgia"/>
          <w:lang w:eastAsia="en-GB"/>
        </w:rPr>
        <w:t xml:space="preserve"> </w:t>
      </w:r>
      <w:r w:rsidR="00591E84">
        <w:rPr>
          <w:rFonts w:cs="Georgia"/>
          <w:lang w:eastAsia="en-GB"/>
        </w:rPr>
        <w:t>A</w:t>
      </w:r>
      <w:r>
        <w:rPr>
          <w:rFonts w:cs="Georgia"/>
          <w:lang w:eastAsia="en-GB"/>
        </w:rPr>
        <w:t>r</w:t>
      </w:r>
      <w:r w:rsidR="00A3366B" w:rsidRPr="00E931F4">
        <w:rPr>
          <w:rFonts w:cs="Georgia"/>
          <w:lang w:eastAsia="en-GB"/>
        </w:rPr>
        <w:t>ticles</w:t>
      </w:r>
      <w:proofErr w:type="gramEnd"/>
      <w:r w:rsidR="00A3366B" w:rsidRPr="00E931F4">
        <w:rPr>
          <w:rFonts w:cs="Georgia"/>
          <w:lang w:eastAsia="en-GB"/>
        </w:rPr>
        <w:t xml:space="preserve"> 9 and 10 and </w:t>
      </w:r>
      <w:r>
        <w:rPr>
          <w:rFonts w:cs="Georgia"/>
          <w:lang w:eastAsia="en-GB"/>
        </w:rPr>
        <w:t>(ii) </w:t>
      </w:r>
      <w:r w:rsidR="00A3366B" w:rsidRPr="00E931F4">
        <w:rPr>
          <w:rFonts w:cs="Georgia"/>
          <w:lang w:eastAsia="en-GB"/>
        </w:rPr>
        <w:t xml:space="preserve">financial instruments </w:t>
      </w:r>
      <w:r>
        <w:rPr>
          <w:rFonts w:cs="Georgia"/>
          <w:lang w:eastAsia="en-GB"/>
        </w:rPr>
        <w:t>under</w:t>
      </w:r>
      <w:r w:rsidR="00A3366B" w:rsidRPr="00E931F4">
        <w:rPr>
          <w:rFonts w:cs="Georgia"/>
          <w:lang w:eastAsia="en-GB"/>
        </w:rPr>
        <w:t xml:space="preserve"> </w:t>
      </w:r>
      <w:r w:rsidR="00591E84">
        <w:rPr>
          <w:rFonts w:cs="Georgia"/>
          <w:lang w:eastAsia="en-GB"/>
        </w:rPr>
        <w:t>A</w:t>
      </w:r>
      <w:r w:rsidR="00A3366B" w:rsidRPr="00E931F4">
        <w:rPr>
          <w:rFonts w:cs="Georgia"/>
          <w:lang w:eastAsia="en-GB"/>
        </w:rPr>
        <w:t>rticle 13</w:t>
      </w:r>
      <w:r w:rsidR="00591E84">
        <w:rPr>
          <w:rFonts w:cs="Georgia"/>
          <w:lang w:eastAsia="en-GB"/>
        </w:rPr>
        <w:t>(1)</w:t>
      </w:r>
      <w:r w:rsidR="00A3366B" w:rsidRPr="00E931F4">
        <w:rPr>
          <w:rFonts w:cs="Georgia"/>
          <w:lang w:eastAsia="en-GB"/>
        </w:rPr>
        <w:t>.</w:t>
      </w:r>
      <w:r w:rsidR="00061158" w:rsidRPr="00E931F4">
        <w:rPr>
          <w:rFonts w:cs="Georgia"/>
          <w:lang w:eastAsia="en-GB"/>
        </w:rPr>
        <w:t xml:space="preserve"> </w:t>
      </w:r>
      <w:r>
        <w:rPr>
          <w:rFonts w:cs="Georgia"/>
          <w:lang w:eastAsia="en-GB"/>
        </w:rPr>
        <w:t xml:space="preserve"> This is because it can be difficult in practice to distinguish between holdings under Article 9 and holdings under Article 10.</w:t>
      </w:r>
    </w:p>
    <w:p w:rsidR="00054F1B" w:rsidRPr="00E931F4" w:rsidRDefault="00054F1B" w:rsidP="00054F1B">
      <w:pPr>
        <w:autoSpaceDE w:val="0"/>
        <w:autoSpaceDN w:val="0"/>
        <w:adjustRightInd w:val="0"/>
        <w:spacing w:after="180" w:line="240" w:lineRule="auto"/>
        <w:jc w:val="both"/>
        <w:rPr>
          <w:rFonts w:cs="Georgia"/>
          <w:lang w:eastAsia="en-GB"/>
        </w:rPr>
      </w:pPr>
    </w:p>
    <w:p w:rsidR="00D118A0" w:rsidRPr="00DF732A" w:rsidRDefault="00D118A0" w:rsidP="00054F1B">
      <w:pPr>
        <w:keepNext/>
        <w:autoSpaceDE w:val="0"/>
        <w:autoSpaceDN w:val="0"/>
        <w:adjustRightInd w:val="0"/>
        <w:spacing w:after="180" w:line="240" w:lineRule="auto"/>
        <w:jc w:val="both"/>
        <w:rPr>
          <w:rFonts w:cs="Georgia"/>
          <w:b/>
          <w:i/>
          <w:lang w:eastAsia="en-GB"/>
        </w:rPr>
      </w:pPr>
      <w:r w:rsidRPr="00DF732A">
        <w:rPr>
          <w:rFonts w:cs="Georgia"/>
          <w:b/>
          <w:bCs/>
          <w:i/>
          <w:color w:val="000000"/>
          <w:lang w:eastAsia="en-GB"/>
        </w:rPr>
        <w:t>Q4: Can you estimate the marginal cost of changing your general major shareholding disclosure system for the purposes of notification of trading book and market making holdings, i.e., having different buckets for the purpose</w:t>
      </w:r>
      <w:r w:rsidR="00A3366B" w:rsidRPr="00DF732A">
        <w:rPr>
          <w:rFonts w:cs="Georgia"/>
          <w:b/>
          <w:bCs/>
          <w:i/>
          <w:color w:val="000000"/>
          <w:lang w:eastAsia="en-GB"/>
        </w:rPr>
        <w:t>s of the exemptions? Please dis</w:t>
      </w:r>
      <w:r w:rsidRPr="00DF732A">
        <w:rPr>
          <w:rFonts w:cs="Georgia"/>
          <w:b/>
          <w:bCs/>
          <w:i/>
          <w:color w:val="000000"/>
          <w:lang w:eastAsia="en-GB"/>
        </w:rPr>
        <w:t xml:space="preserve">tinguish between one-off costs and on-going costs. </w:t>
      </w:r>
    </w:p>
    <w:p w:rsidR="00C53DF7" w:rsidRPr="00DF732A" w:rsidRDefault="00C53DF7" w:rsidP="00054F1B">
      <w:pPr>
        <w:autoSpaceDE w:val="0"/>
        <w:autoSpaceDN w:val="0"/>
        <w:adjustRightInd w:val="0"/>
        <w:spacing w:after="180" w:line="240" w:lineRule="auto"/>
        <w:jc w:val="both"/>
        <w:rPr>
          <w:rFonts w:cs="Georgia"/>
        </w:rPr>
      </w:pPr>
      <w:r w:rsidRPr="00DF732A">
        <w:rPr>
          <w:rFonts w:cs="Georgia"/>
        </w:rPr>
        <w:t xml:space="preserve">Many of our members already have systems which can deal with differing disclosure requirements of different </w:t>
      </w:r>
      <w:r w:rsidR="00775CB5">
        <w:rPr>
          <w:rFonts w:cs="Georgia"/>
        </w:rPr>
        <w:t>M</w:t>
      </w:r>
      <w:r w:rsidRPr="00DF732A">
        <w:rPr>
          <w:rFonts w:cs="Georgia"/>
        </w:rPr>
        <w:t xml:space="preserve">ember States. </w:t>
      </w:r>
      <w:r w:rsidR="00775CB5">
        <w:rPr>
          <w:rFonts w:cs="Georgia"/>
        </w:rPr>
        <w:t xml:space="preserve"> </w:t>
      </w:r>
      <w:r w:rsidRPr="00DF732A">
        <w:rPr>
          <w:rFonts w:cs="Georgia"/>
        </w:rPr>
        <w:t>Changes in such systems can be complex and costly, but ongoing costs may be lowered as harmonisation is approached.</w:t>
      </w:r>
    </w:p>
    <w:p w:rsidR="00A3366B" w:rsidRPr="00DF732A" w:rsidRDefault="00EF2998" w:rsidP="00054F1B">
      <w:pPr>
        <w:autoSpaceDE w:val="0"/>
        <w:autoSpaceDN w:val="0"/>
        <w:adjustRightInd w:val="0"/>
        <w:spacing w:after="180" w:line="240" w:lineRule="auto"/>
        <w:jc w:val="both"/>
        <w:rPr>
          <w:rFonts w:cs="Georgia"/>
          <w:b/>
          <w:bCs/>
          <w:i/>
          <w:color w:val="7030A0"/>
          <w:sz w:val="28"/>
          <w:szCs w:val="28"/>
          <w:lang w:eastAsia="en-GB"/>
        </w:rPr>
      </w:pPr>
      <w:r w:rsidRPr="00DF732A">
        <w:rPr>
          <w:rFonts w:cs="Georgia"/>
          <w:b/>
          <w:bCs/>
          <w:i/>
          <w:color w:val="7030A0"/>
          <w:sz w:val="28"/>
          <w:szCs w:val="28"/>
          <w:lang w:eastAsia="en-GB"/>
        </w:rPr>
        <w:t>Vertical Aggregation</w:t>
      </w:r>
    </w:p>
    <w:p w:rsidR="00D118A0" w:rsidRPr="00DF732A" w:rsidRDefault="00D118A0" w:rsidP="00054F1B">
      <w:pPr>
        <w:autoSpaceDE w:val="0"/>
        <w:autoSpaceDN w:val="0"/>
        <w:adjustRightInd w:val="0"/>
        <w:spacing w:after="180" w:line="240" w:lineRule="auto"/>
        <w:jc w:val="both"/>
        <w:rPr>
          <w:rFonts w:cs="Georgia"/>
          <w:b/>
          <w:i/>
          <w:color w:val="000000"/>
          <w:lang w:eastAsia="en-GB"/>
        </w:rPr>
      </w:pPr>
      <w:r w:rsidRPr="00DF732A">
        <w:rPr>
          <w:rFonts w:cs="Georgia"/>
          <w:b/>
          <w:bCs/>
          <w:i/>
          <w:color w:val="000000"/>
          <w:lang w:eastAsia="en-GB"/>
        </w:rPr>
        <w:t>Q5: Do you agree that, in the case of a group of compan</w:t>
      </w:r>
      <w:r w:rsidR="004D3236" w:rsidRPr="00DF732A">
        <w:rPr>
          <w:rFonts w:cs="Georgia"/>
          <w:b/>
          <w:bCs/>
          <w:i/>
          <w:color w:val="000000"/>
          <w:lang w:eastAsia="en-GB"/>
        </w:rPr>
        <w:t>ies, notification of market mak</w:t>
      </w:r>
      <w:r w:rsidRPr="00DF732A">
        <w:rPr>
          <w:rFonts w:cs="Georgia"/>
          <w:b/>
          <w:bCs/>
          <w:i/>
          <w:color w:val="000000"/>
          <w:lang w:eastAsia="en-GB"/>
        </w:rPr>
        <w:t xml:space="preserve">ing and trading book holdings should be made at group level, with all holdings of that group being aggregated (Article 3(1))? </w:t>
      </w:r>
    </w:p>
    <w:p w:rsidR="00061158" w:rsidRPr="00E931F4" w:rsidRDefault="00061158" w:rsidP="00054F1B">
      <w:pPr>
        <w:pStyle w:val="Default"/>
        <w:spacing w:after="180"/>
        <w:jc w:val="both"/>
        <w:rPr>
          <w:rFonts w:ascii="Calibri" w:hAnsi="Calibri" w:cs="Calibri"/>
          <w:color w:val="auto"/>
          <w:sz w:val="22"/>
          <w:szCs w:val="22"/>
          <w:lang w:val="en-GB"/>
        </w:rPr>
      </w:pPr>
      <w:r w:rsidRPr="00E931F4">
        <w:rPr>
          <w:rFonts w:ascii="Calibri" w:hAnsi="Calibri" w:cs="Calibri"/>
          <w:color w:val="auto"/>
          <w:sz w:val="22"/>
          <w:szCs w:val="22"/>
          <w:lang w:val="en-GB"/>
        </w:rPr>
        <w:t xml:space="preserve">ESMA proposes that holdings are aggregated at group level for the purposes of the </w:t>
      </w:r>
      <w:r w:rsidR="00546B0E">
        <w:rPr>
          <w:rFonts w:ascii="Calibri" w:hAnsi="Calibri" w:cs="Calibri"/>
          <w:color w:val="auto"/>
          <w:sz w:val="22"/>
          <w:szCs w:val="22"/>
          <w:lang w:val="en-GB"/>
        </w:rPr>
        <w:t>calculation of</w:t>
      </w:r>
      <w:r w:rsidRPr="00E931F4">
        <w:rPr>
          <w:rFonts w:ascii="Calibri" w:hAnsi="Calibri" w:cs="Calibri"/>
          <w:color w:val="auto"/>
          <w:sz w:val="22"/>
          <w:szCs w:val="22"/>
          <w:lang w:val="en-GB"/>
        </w:rPr>
        <w:t xml:space="preserve"> the 5% threshold and considers that the concept of group </w:t>
      </w:r>
      <w:r w:rsidR="00C83879" w:rsidRPr="00E931F4">
        <w:rPr>
          <w:rFonts w:ascii="Calibri" w:hAnsi="Calibri" w:cs="Calibri"/>
          <w:color w:val="auto"/>
          <w:sz w:val="22"/>
          <w:szCs w:val="22"/>
          <w:lang w:val="en-GB"/>
        </w:rPr>
        <w:t>is</w:t>
      </w:r>
      <w:r w:rsidRPr="00E931F4">
        <w:rPr>
          <w:rFonts w:ascii="Calibri" w:hAnsi="Calibri" w:cs="Calibri"/>
          <w:color w:val="auto"/>
          <w:sz w:val="22"/>
          <w:szCs w:val="22"/>
          <w:lang w:val="en-GB"/>
        </w:rPr>
        <w:t xml:space="preserve"> sufficiently clear with the reference, in </w:t>
      </w:r>
      <w:r w:rsidR="00AC22C3" w:rsidRPr="00E931F4">
        <w:rPr>
          <w:rFonts w:ascii="Calibri" w:hAnsi="Calibri" w:cs="Calibri"/>
          <w:color w:val="auto"/>
          <w:sz w:val="22"/>
          <w:szCs w:val="22"/>
          <w:lang w:val="en-GB"/>
        </w:rPr>
        <w:t>A</w:t>
      </w:r>
      <w:r w:rsidRPr="00E931F4">
        <w:rPr>
          <w:rFonts w:ascii="Calibri" w:hAnsi="Calibri" w:cs="Calibri"/>
          <w:color w:val="auto"/>
          <w:sz w:val="22"/>
          <w:szCs w:val="22"/>
          <w:lang w:val="en-GB"/>
        </w:rPr>
        <w:t xml:space="preserve">rticles 10(e) and 12 of the </w:t>
      </w:r>
      <w:r w:rsidR="00EE410C">
        <w:rPr>
          <w:rFonts w:ascii="Calibri" w:hAnsi="Calibri" w:cs="Calibri"/>
          <w:color w:val="auto"/>
          <w:sz w:val="22"/>
          <w:szCs w:val="22"/>
          <w:lang w:val="en-GB"/>
        </w:rPr>
        <w:t>TD</w:t>
      </w:r>
      <w:r w:rsidRPr="00E931F4">
        <w:rPr>
          <w:rFonts w:ascii="Calibri" w:hAnsi="Calibri" w:cs="Calibri"/>
          <w:color w:val="auto"/>
          <w:sz w:val="22"/>
          <w:szCs w:val="22"/>
          <w:lang w:val="en-GB"/>
        </w:rPr>
        <w:t xml:space="preserve">, to </w:t>
      </w:r>
      <w:r w:rsidR="00054F1B">
        <w:rPr>
          <w:rFonts w:ascii="Calibri" w:hAnsi="Calibri" w:cs="Calibri"/>
          <w:color w:val="auto"/>
          <w:sz w:val="22"/>
          <w:szCs w:val="22"/>
          <w:lang w:val="en-GB"/>
        </w:rPr>
        <w:t>"</w:t>
      </w:r>
      <w:r w:rsidRPr="00E931F4">
        <w:rPr>
          <w:rFonts w:ascii="Calibri" w:hAnsi="Calibri" w:cs="Calibri"/>
          <w:color w:val="auto"/>
          <w:sz w:val="22"/>
          <w:szCs w:val="22"/>
          <w:lang w:val="en-GB"/>
        </w:rPr>
        <w:t>parent undertaking</w:t>
      </w:r>
      <w:r w:rsidR="00054F1B">
        <w:rPr>
          <w:rFonts w:ascii="Calibri" w:hAnsi="Calibri" w:cs="Calibri"/>
          <w:color w:val="auto"/>
          <w:sz w:val="22"/>
          <w:szCs w:val="22"/>
          <w:lang w:val="en-GB"/>
        </w:rPr>
        <w:t>"</w:t>
      </w:r>
      <w:r w:rsidRPr="00E931F4">
        <w:rPr>
          <w:rFonts w:ascii="Calibri" w:hAnsi="Calibri" w:cs="Calibri"/>
          <w:color w:val="auto"/>
          <w:sz w:val="22"/>
          <w:szCs w:val="22"/>
          <w:lang w:val="en-GB"/>
        </w:rPr>
        <w:t xml:space="preserve"> and </w:t>
      </w:r>
      <w:r w:rsidR="00054F1B">
        <w:rPr>
          <w:rFonts w:ascii="Calibri" w:hAnsi="Calibri" w:cs="Calibri"/>
          <w:color w:val="auto"/>
          <w:sz w:val="22"/>
          <w:szCs w:val="22"/>
          <w:lang w:val="en-GB"/>
        </w:rPr>
        <w:t>"</w:t>
      </w:r>
      <w:r w:rsidRPr="00E931F4">
        <w:rPr>
          <w:rFonts w:ascii="Calibri" w:hAnsi="Calibri" w:cs="Calibri"/>
          <w:color w:val="auto"/>
          <w:sz w:val="22"/>
          <w:szCs w:val="22"/>
          <w:lang w:val="en-GB"/>
        </w:rPr>
        <w:t>controlled undertaking</w:t>
      </w:r>
      <w:r w:rsidR="00054F1B">
        <w:rPr>
          <w:rFonts w:ascii="Calibri" w:hAnsi="Calibri" w:cs="Calibri"/>
          <w:color w:val="auto"/>
          <w:sz w:val="22"/>
          <w:szCs w:val="22"/>
          <w:lang w:val="en-GB"/>
        </w:rPr>
        <w:t>"</w:t>
      </w:r>
      <w:r w:rsidRPr="00E931F4">
        <w:rPr>
          <w:rFonts w:ascii="Calibri" w:hAnsi="Calibri" w:cs="Calibri"/>
          <w:color w:val="auto"/>
          <w:sz w:val="22"/>
          <w:szCs w:val="22"/>
          <w:lang w:val="en-GB"/>
        </w:rPr>
        <w:t xml:space="preserve">. </w:t>
      </w:r>
    </w:p>
    <w:p w:rsidR="00061158" w:rsidRPr="00E931F4" w:rsidRDefault="00AC22C3" w:rsidP="00054F1B">
      <w:pPr>
        <w:pStyle w:val="Default"/>
        <w:spacing w:after="180"/>
        <w:jc w:val="both"/>
        <w:rPr>
          <w:rFonts w:ascii="Calibri" w:hAnsi="Calibri" w:cs="Calibri"/>
          <w:color w:val="auto"/>
          <w:sz w:val="22"/>
          <w:szCs w:val="22"/>
          <w:lang w:val="en-GB"/>
        </w:rPr>
      </w:pPr>
      <w:r>
        <w:rPr>
          <w:rFonts w:ascii="Calibri" w:hAnsi="Calibri" w:cs="Calibri"/>
          <w:color w:val="auto"/>
          <w:sz w:val="22"/>
          <w:szCs w:val="22"/>
          <w:lang w:val="en-GB"/>
        </w:rPr>
        <w:t xml:space="preserve">We </w:t>
      </w:r>
      <w:r w:rsidR="00575769">
        <w:rPr>
          <w:rFonts w:ascii="Calibri" w:hAnsi="Calibri" w:cs="Calibri"/>
          <w:color w:val="auto"/>
          <w:sz w:val="22"/>
          <w:szCs w:val="22"/>
          <w:lang w:val="en-GB"/>
        </w:rPr>
        <w:t>broadly agree</w:t>
      </w:r>
      <w:r w:rsidR="00EE410C">
        <w:rPr>
          <w:rFonts w:ascii="Calibri" w:hAnsi="Calibri" w:cs="Calibri"/>
          <w:color w:val="auto"/>
          <w:sz w:val="22"/>
          <w:szCs w:val="22"/>
          <w:lang w:val="en-GB"/>
        </w:rPr>
        <w:t xml:space="preserve"> with this and </w:t>
      </w:r>
      <w:r w:rsidR="00B94289" w:rsidRPr="00E931F4">
        <w:rPr>
          <w:rFonts w:ascii="Calibri" w:hAnsi="Calibri" w:cs="Calibri"/>
          <w:color w:val="auto"/>
          <w:sz w:val="22"/>
          <w:szCs w:val="22"/>
          <w:lang w:val="en-GB"/>
        </w:rPr>
        <w:t>support aggregation at group level</w:t>
      </w:r>
      <w:r>
        <w:rPr>
          <w:rFonts w:ascii="Calibri" w:hAnsi="Calibri" w:cs="Calibri"/>
          <w:color w:val="auto"/>
          <w:sz w:val="22"/>
          <w:szCs w:val="22"/>
          <w:lang w:val="en-GB"/>
        </w:rPr>
        <w:t>,</w:t>
      </w:r>
      <w:r w:rsidR="00B94289" w:rsidRPr="00E931F4">
        <w:rPr>
          <w:rFonts w:ascii="Calibri" w:hAnsi="Calibri" w:cs="Calibri"/>
          <w:color w:val="auto"/>
          <w:sz w:val="22"/>
          <w:szCs w:val="22"/>
          <w:lang w:val="en-GB"/>
        </w:rPr>
        <w:t xml:space="preserve"> provided that </w:t>
      </w:r>
      <w:r w:rsidR="00EE410C">
        <w:rPr>
          <w:rFonts w:ascii="Calibri" w:hAnsi="Calibri" w:cs="Calibri"/>
          <w:color w:val="auto"/>
          <w:sz w:val="22"/>
          <w:szCs w:val="22"/>
          <w:lang w:val="en-GB"/>
        </w:rPr>
        <w:t xml:space="preserve">an </w:t>
      </w:r>
      <w:r w:rsidR="00B94289" w:rsidRPr="00E931F4">
        <w:rPr>
          <w:rFonts w:ascii="Calibri" w:hAnsi="Calibri" w:cs="Calibri"/>
          <w:color w:val="auto"/>
          <w:sz w:val="22"/>
          <w:szCs w:val="22"/>
          <w:lang w:val="en-GB"/>
        </w:rPr>
        <w:t xml:space="preserve">exemption </w:t>
      </w:r>
      <w:r w:rsidR="00546B0E">
        <w:rPr>
          <w:rFonts w:ascii="Calibri" w:hAnsi="Calibri" w:cs="Calibri"/>
          <w:color w:val="auto"/>
          <w:sz w:val="22"/>
          <w:szCs w:val="22"/>
          <w:lang w:val="en-GB"/>
        </w:rPr>
        <w:t>will</w:t>
      </w:r>
      <w:r w:rsidR="00B94289" w:rsidRPr="00E931F4">
        <w:rPr>
          <w:rFonts w:ascii="Calibri" w:hAnsi="Calibri" w:cs="Calibri"/>
          <w:color w:val="auto"/>
          <w:sz w:val="22"/>
          <w:szCs w:val="22"/>
          <w:lang w:val="en-GB"/>
        </w:rPr>
        <w:t xml:space="preserve"> apply if an entity within the group </w:t>
      </w:r>
      <w:r w:rsidR="00546B0E" w:rsidRPr="00546B0E">
        <w:rPr>
          <w:rFonts w:ascii="Calibri" w:hAnsi="Calibri" w:cs="Calibri"/>
          <w:color w:val="auto"/>
          <w:sz w:val="22"/>
          <w:szCs w:val="22"/>
          <w:lang w:val="en-GB"/>
        </w:rPr>
        <w:t>which is an asset manager, investment firm or credit institution satisfying the independence c</w:t>
      </w:r>
      <w:r w:rsidR="00546B0E">
        <w:rPr>
          <w:rFonts w:ascii="Calibri" w:hAnsi="Calibri" w:cs="Calibri"/>
          <w:color w:val="auto"/>
          <w:sz w:val="22"/>
          <w:szCs w:val="22"/>
          <w:lang w:val="en-GB"/>
        </w:rPr>
        <w:t xml:space="preserve">riteria under </w:t>
      </w:r>
      <w:proofErr w:type="spellStart"/>
      <w:r w:rsidR="00546B0E">
        <w:rPr>
          <w:rFonts w:ascii="Calibri" w:hAnsi="Calibri" w:cs="Calibri"/>
          <w:color w:val="auto"/>
          <w:sz w:val="22"/>
          <w:szCs w:val="22"/>
          <w:lang w:val="en-GB"/>
        </w:rPr>
        <w:t>para</w:t>
      </w:r>
      <w:proofErr w:type="spellEnd"/>
      <w:r w:rsidR="00546B0E">
        <w:rPr>
          <w:rFonts w:ascii="Calibri" w:hAnsi="Calibri" w:cs="Calibri"/>
          <w:color w:val="auto"/>
          <w:sz w:val="22"/>
          <w:szCs w:val="22"/>
          <w:lang w:val="en-GB"/>
        </w:rPr>
        <w:t>.</w:t>
      </w:r>
      <w:r w:rsidR="00546B0E" w:rsidRPr="00546B0E">
        <w:rPr>
          <w:rFonts w:ascii="Calibri" w:hAnsi="Calibri" w:cs="Calibri"/>
          <w:color w:val="auto"/>
          <w:sz w:val="22"/>
          <w:szCs w:val="22"/>
          <w:lang w:val="en-GB"/>
        </w:rPr>
        <w:t xml:space="preserve"> </w:t>
      </w:r>
      <w:proofErr w:type="gramStart"/>
      <w:r w:rsidR="00546B0E" w:rsidRPr="00546B0E">
        <w:rPr>
          <w:rFonts w:ascii="Calibri" w:hAnsi="Calibri" w:cs="Calibri"/>
          <w:color w:val="auto"/>
          <w:sz w:val="22"/>
          <w:szCs w:val="22"/>
          <w:lang w:val="en-GB"/>
        </w:rPr>
        <w:t xml:space="preserve">72 (Option 2) of the Consultation Paper </w:t>
      </w:r>
      <w:r w:rsidR="00546B0E">
        <w:rPr>
          <w:rFonts w:ascii="Calibri" w:hAnsi="Calibri" w:cs="Calibri"/>
          <w:color w:val="auto"/>
          <w:sz w:val="22"/>
          <w:szCs w:val="22"/>
          <w:lang w:val="en-GB"/>
        </w:rPr>
        <w:t>(subject to our comments below)</w:t>
      </w:r>
      <w:r w:rsidR="00B94289" w:rsidRPr="00E931F4">
        <w:rPr>
          <w:rFonts w:ascii="Calibri" w:hAnsi="Calibri" w:cs="Calibri"/>
          <w:color w:val="auto"/>
          <w:sz w:val="22"/>
          <w:szCs w:val="22"/>
          <w:lang w:val="en-GB"/>
        </w:rPr>
        <w:t>.</w:t>
      </w:r>
      <w:proofErr w:type="gramEnd"/>
    </w:p>
    <w:p w:rsidR="00D118A0" w:rsidRPr="00DF732A" w:rsidRDefault="00D118A0" w:rsidP="00054F1B">
      <w:pPr>
        <w:autoSpaceDE w:val="0"/>
        <w:autoSpaceDN w:val="0"/>
        <w:adjustRightInd w:val="0"/>
        <w:spacing w:after="180" w:line="240" w:lineRule="auto"/>
        <w:jc w:val="both"/>
        <w:rPr>
          <w:rFonts w:cs="Georgia"/>
          <w:b/>
          <w:bCs/>
          <w:i/>
          <w:color w:val="000000"/>
          <w:lang w:eastAsia="en-GB"/>
        </w:rPr>
      </w:pPr>
      <w:r w:rsidRPr="00DF732A">
        <w:rPr>
          <w:rFonts w:cs="Georgia"/>
          <w:b/>
          <w:bCs/>
          <w:i/>
          <w:color w:val="000000"/>
          <w:lang w:eastAsia="en-GB"/>
        </w:rPr>
        <w:t>Q6: Do you agree that an exemption to notify at group level can apply if an entity meets the independence criteria set out under paragraph 72 (Option 2)?</w:t>
      </w:r>
    </w:p>
    <w:p w:rsidR="009C4642" w:rsidRPr="0081011C" w:rsidRDefault="00977F5A" w:rsidP="00054F1B">
      <w:pPr>
        <w:autoSpaceDE w:val="0"/>
        <w:autoSpaceDN w:val="0"/>
        <w:adjustRightInd w:val="0"/>
        <w:spacing w:after="180" w:line="240" w:lineRule="auto"/>
        <w:jc w:val="both"/>
        <w:rPr>
          <w:rFonts w:cs="Georgia"/>
          <w:lang w:eastAsia="en-GB"/>
        </w:rPr>
      </w:pPr>
      <w:r>
        <w:rPr>
          <w:rFonts w:cs="Georgia"/>
          <w:lang w:eastAsia="en-GB"/>
        </w:rPr>
        <w:t>We support O</w:t>
      </w:r>
      <w:r w:rsidRPr="00977F5A">
        <w:rPr>
          <w:rFonts w:cs="Georgia"/>
          <w:lang w:eastAsia="en-GB"/>
        </w:rPr>
        <w:t>ption 2 rat</w:t>
      </w:r>
      <w:r>
        <w:rPr>
          <w:rFonts w:cs="Georgia"/>
          <w:lang w:eastAsia="en-GB"/>
        </w:rPr>
        <w:t>her than Option 1</w:t>
      </w:r>
      <w:r w:rsidRPr="00977F5A">
        <w:rPr>
          <w:rFonts w:cs="Georgia"/>
          <w:lang w:eastAsia="en-GB"/>
        </w:rPr>
        <w:t xml:space="preserve">. </w:t>
      </w:r>
      <w:r w:rsidR="006D4F72">
        <w:rPr>
          <w:rFonts w:cs="Georgia"/>
          <w:lang w:eastAsia="en-GB"/>
        </w:rPr>
        <w:t xml:space="preserve"> </w:t>
      </w:r>
      <w:r w:rsidR="009775BB">
        <w:rPr>
          <w:rFonts w:cs="Georgia"/>
          <w:lang w:eastAsia="en-GB"/>
        </w:rPr>
        <w:t>In principle, we</w:t>
      </w:r>
      <w:r w:rsidR="009775BB" w:rsidRPr="0081011C">
        <w:rPr>
          <w:rFonts w:cs="Georgia"/>
          <w:lang w:eastAsia="en-GB"/>
        </w:rPr>
        <w:t xml:space="preserve"> agree that the notion of control should be </w:t>
      </w:r>
      <w:r w:rsidR="009775BB">
        <w:rPr>
          <w:rFonts w:cs="Georgia"/>
          <w:lang w:eastAsia="en-GB"/>
        </w:rPr>
        <w:t>the basis</w:t>
      </w:r>
      <w:r w:rsidR="009775BB" w:rsidRPr="0081011C">
        <w:rPr>
          <w:rFonts w:cs="Georgia"/>
          <w:lang w:eastAsia="en-GB"/>
        </w:rPr>
        <w:t xml:space="preserve"> of the proposed regime for aggregation/disaggregation of</w:t>
      </w:r>
      <w:r w:rsidR="00575769">
        <w:rPr>
          <w:rFonts w:cs="Georgia"/>
          <w:lang w:eastAsia="en-GB"/>
        </w:rPr>
        <w:t xml:space="preserve"> group</w:t>
      </w:r>
      <w:r w:rsidR="009775BB" w:rsidRPr="0081011C">
        <w:rPr>
          <w:rFonts w:cs="Georgia"/>
          <w:lang w:eastAsia="en-GB"/>
        </w:rPr>
        <w:t xml:space="preserve"> holdings and support the view </w:t>
      </w:r>
      <w:proofErr w:type="gramStart"/>
      <w:r w:rsidR="009775BB" w:rsidRPr="0081011C">
        <w:rPr>
          <w:rFonts w:cs="Georgia"/>
          <w:lang w:eastAsia="en-GB"/>
        </w:rPr>
        <w:t>that</w:t>
      </w:r>
      <w:r w:rsidR="009775BB">
        <w:rPr>
          <w:rFonts w:cs="Georgia"/>
          <w:lang w:eastAsia="en-GB"/>
        </w:rPr>
        <w:t>,</w:t>
      </w:r>
      <w:proofErr w:type="gramEnd"/>
      <w:r w:rsidR="009775BB">
        <w:rPr>
          <w:rFonts w:cs="Georgia"/>
          <w:lang w:eastAsia="en-GB"/>
        </w:rPr>
        <w:t xml:space="preserve"> provided</w:t>
      </w:r>
      <w:r w:rsidR="009775BB" w:rsidRPr="0081011C">
        <w:rPr>
          <w:rFonts w:cs="Georgia"/>
          <w:lang w:eastAsia="en-GB"/>
        </w:rPr>
        <w:t xml:space="preserve"> controlled </w:t>
      </w:r>
      <w:r w:rsidR="009775BB">
        <w:rPr>
          <w:rFonts w:cs="Georgia"/>
          <w:lang w:eastAsia="en-GB"/>
        </w:rPr>
        <w:t>undertakings</w:t>
      </w:r>
      <w:r w:rsidR="009775BB" w:rsidRPr="0081011C">
        <w:rPr>
          <w:rFonts w:cs="Georgia"/>
          <w:lang w:eastAsia="en-GB"/>
        </w:rPr>
        <w:t xml:space="preserve"> can demonstrate that they operate independently from their parent company, they should benefit from the exemption.</w:t>
      </w:r>
      <w:r w:rsidR="009775BB">
        <w:rPr>
          <w:rFonts w:cs="Georgia"/>
          <w:lang w:eastAsia="en-GB"/>
        </w:rPr>
        <w:t xml:space="preserve">  </w:t>
      </w:r>
      <w:r w:rsidR="00003160">
        <w:rPr>
          <w:rFonts w:cs="Georgia"/>
          <w:lang w:eastAsia="en-GB"/>
        </w:rPr>
        <w:t xml:space="preserve">In the draft RTS </w:t>
      </w:r>
      <w:r w:rsidR="00B94289" w:rsidRPr="0081011C">
        <w:rPr>
          <w:rFonts w:cs="Georgia"/>
          <w:lang w:eastAsia="en-GB"/>
        </w:rPr>
        <w:t>ESMA proposes that the parent undertaking of a credit institution or investment firm wishing to benefit from the exemption in relation to holdings should ensure</w:t>
      </w:r>
      <w:r w:rsidR="0081011C">
        <w:rPr>
          <w:rFonts w:cs="Georgia"/>
          <w:lang w:eastAsia="en-GB"/>
        </w:rPr>
        <w:t>, among other things,</w:t>
      </w:r>
      <w:r w:rsidR="00B94289" w:rsidRPr="0081011C">
        <w:rPr>
          <w:rFonts w:cs="Georgia"/>
          <w:lang w:eastAsia="en-GB"/>
        </w:rPr>
        <w:t xml:space="preserve"> that: </w:t>
      </w:r>
      <w:r w:rsidR="0081011C">
        <w:rPr>
          <w:rFonts w:cs="Georgia"/>
          <w:lang w:eastAsia="en-GB"/>
        </w:rPr>
        <w:t>(</w:t>
      </w:r>
      <w:r w:rsidR="00B94289" w:rsidRPr="0081011C">
        <w:rPr>
          <w:rFonts w:cs="Georgia"/>
          <w:lang w:eastAsia="en-GB"/>
        </w:rPr>
        <w:t>a) the credit institution or investment fir</w:t>
      </w:r>
      <w:r w:rsidR="00C83879" w:rsidRPr="0081011C">
        <w:rPr>
          <w:rFonts w:cs="Georgia"/>
          <w:lang w:eastAsia="en-GB"/>
        </w:rPr>
        <w:t xml:space="preserve">m exercises </w:t>
      </w:r>
      <w:r w:rsidR="0081011C">
        <w:rPr>
          <w:rFonts w:cs="Georgia"/>
          <w:lang w:eastAsia="en-GB"/>
        </w:rPr>
        <w:t>those</w:t>
      </w:r>
      <w:r w:rsidR="0081011C" w:rsidRPr="0081011C">
        <w:rPr>
          <w:rFonts w:cs="Georgia"/>
          <w:lang w:eastAsia="en-GB"/>
        </w:rPr>
        <w:t xml:space="preserve"> </w:t>
      </w:r>
      <w:r w:rsidR="00C83879" w:rsidRPr="0081011C">
        <w:rPr>
          <w:rFonts w:cs="Georgia"/>
          <w:lang w:eastAsia="en-GB"/>
        </w:rPr>
        <w:t xml:space="preserve">voting rights </w:t>
      </w:r>
      <w:r w:rsidR="0081011C">
        <w:rPr>
          <w:rFonts w:cs="Georgia"/>
          <w:lang w:eastAsia="en-GB"/>
        </w:rPr>
        <w:t xml:space="preserve">that are not </w:t>
      </w:r>
      <w:r w:rsidR="00B94289" w:rsidRPr="0081011C">
        <w:rPr>
          <w:rFonts w:cs="Georgia"/>
          <w:lang w:eastAsia="en-GB"/>
        </w:rPr>
        <w:t xml:space="preserve">related to the shares held in connection with the trading book and market making activities independently </w:t>
      </w:r>
      <w:r w:rsidR="0081011C">
        <w:rPr>
          <w:rFonts w:cs="Georgia"/>
          <w:lang w:eastAsia="en-GB"/>
        </w:rPr>
        <w:t>of</w:t>
      </w:r>
      <w:r w:rsidR="0081011C" w:rsidRPr="0081011C">
        <w:rPr>
          <w:rFonts w:cs="Georgia"/>
          <w:lang w:eastAsia="en-GB"/>
        </w:rPr>
        <w:t xml:space="preserve"> </w:t>
      </w:r>
      <w:r w:rsidR="00B94289" w:rsidRPr="0081011C">
        <w:rPr>
          <w:rFonts w:cs="Georgia"/>
          <w:lang w:eastAsia="en-GB"/>
        </w:rPr>
        <w:t xml:space="preserve">the parent undertaking; and </w:t>
      </w:r>
      <w:r w:rsidR="0081011C">
        <w:rPr>
          <w:rFonts w:cs="Georgia"/>
          <w:lang w:eastAsia="en-GB"/>
        </w:rPr>
        <w:t>(</w:t>
      </w:r>
      <w:r w:rsidR="00B94289" w:rsidRPr="0081011C">
        <w:rPr>
          <w:rFonts w:cs="Georgia"/>
          <w:lang w:eastAsia="en-GB"/>
        </w:rPr>
        <w:t xml:space="preserve">b) it sends a declaration as to its status to the competent authority of </w:t>
      </w:r>
      <w:r w:rsidR="0081011C">
        <w:rPr>
          <w:rFonts w:cs="Georgia"/>
          <w:lang w:eastAsia="en-GB"/>
        </w:rPr>
        <w:t>the home Membe</w:t>
      </w:r>
      <w:r>
        <w:rPr>
          <w:rFonts w:cs="Georgia"/>
          <w:lang w:eastAsia="en-GB"/>
        </w:rPr>
        <w:t>r</w:t>
      </w:r>
      <w:r w:rsidR="0081011C">
        <w:rPr>
          <w:rFonts w:cs="Georgia"/>
          <w:lang w:eastAsia="en-GB"/>
        </w:rPr>
        <w:t xml:space="preserve"> State of </w:t>
      </w:r>
      <w:r w:rsidR="00B94289" w:rsidRPr="0081011C">
        <w:rPr>
          <w:rFonts w:cs="Georgia"/>
          <w:lang w:eastAsia="en-GB"/>
        </w:rPr>
        <w:t>the issue</w:t>
      </w:r>
      <w:r w:rsidR="00C83879" w:rsidRPr="0081011C">
        <w:rPr>
          <w:rFonts w:cs="Georgia"/>
          <w:lang w:eastAsia="en-GB"/>
        </w:rPr>
        <w:t>r</w:t>
      </w:r>
      <w:r w:rsidR="00B94289" w:rsidRPr="0081011C">
        <w:rPr>
          <w:rFonts w:cs="Georgia"/>
          <w:lang w:eastAsia="en-GB"/>
        </w:rPr>
        <w:t xml:space="preserve"> of the</w:t>
      </w:r>
      <w:r w:rsidR="0081011C">
        <w:rPr>
          <w:rFonts w:cs="Georgia"/>
          <w:lang w:eastAsia="en-GB"/>
        </w:rPr>
        <w:t xml:space="preserve"> relevant</w:t>
      </w:r>
      <w:r w:rsidR="00B94289" w:rsidRPr="0081011C">
        <w:rPr>
          <w:rFonts w:cs="Georgia"/>
          <w:lang w:eastAsia="en-GB"/>
        </w:rPr>
        <w:t xml:space="preserve"> shares.</w:t>
      </w:r>
    </w:p>
    <w:p w:rsidR="00EC4EB1" w:rsidRDefault="000A79BE" w:rsidP="00054F1B">
      <w:pPr>
        <w:autoSpaceDE w:val="0"/>
        <w:autoSpaceDN w:val="0"/>
        <w:adjustRightInd w:val="0"/>
        <w:spacing w:after="180" w:line="240" w:lineRule="auto"/>
        <w:jc w:val="both"/>
        <w:rPr>
          <w:rFonts w:cs="Georgia"/>
          <w:lang w:eastAsia="en-GB"/>
        </w:rPr>
      </w:pPr>
      <w:r>
        <w:rPr>
          <w:rFonts w:cs="Georgia"/>
          <w:lang w:eastAsia="en-GB"/>
        </w:rPr>
        <w:t>We</w:t>
      </w:r>
      <w:r w:rsidRPr="0081011C">
        <w:rPr>
          <w:rFonts w:cs="Georgia"/>
          <w:lang w:eastAsia="en-GB"/>
        </w:rPr>
        <w:t xml:space="preserve"> </w:t>
      </w:r>
      <w:r w:rsidR="00A41CAF" w:rsidRPr="0081011C">
        <w:rPr>
          <w:rFonts w:cs="Georgia"/>
          <w:lang w:eastAsia="en-GB"/>
        </w:rPr>
        <w:t>also support</w:t>
      </w:r>
      <w:r w:rsidR="00EC4EB1">
        <w:rPr>
          <w:rFonts w:cs="Georgia"/>
          <w:lang w:eastAsia="en-GB"/>
        </w:rPr>
        <w:t xml:space="preserve"> the requirements</w:t>
      </w:r>
      <w:r w:rsidR="00003160">
        <w:rPr>
          <w:rFonts w:cs="Georgia"/>
          <w:lang w:eastAsia="en-GB"/>
        </w:rPr>
        <w:t xml:space="preserve"> for</w:t>
      </w:r>
      <w:r w:rsidR="009775BB">
        <w:rPr>
          <w:rFonts w:cs="Georgia"/>
          <w:lang w:eastAsia="en-GB"/>
        </w:rPr>
        <w:t xml:space="preserve"> the content of the</w:t>
      </w:r>
      <w:r w:rsidR="00F00313" w:rsidRPr="0081011C">
        <w:rPr>
          <w:rFonts w:cs="Georgia"/>
          <w:lang w:eastAsia="en-GB"/>
        </w:rPr>
        <w:t xml:space="preserve"> declaration</w:t>
      </w:r>
      <w:r w:rsidR="009775BB">
        <w:rPr>
          <w:rFonts w:cs="Georgia"/>
          <w:lang w:eastAsia="en-GB"/>
        </w:rPr>
        <w:t>, i.e.</w:t>
      </w:r>
      <w:r w:rsidR="00F00313" w:rsidRPr="0081011C">
        <w:rPr>
          <w:rFonts w:cs="Georgia"/>
          <w:lang w:eastAsia="en-GB"/>
        </w:rPr>
        <w:t xml:space="preserve"> a list of the controlled entities</w:t>
      </w:r>
      <w:r w:rsidR="00EC4EB1">
        <w:rPr>
          <w:rFonts w:cs="Georgia"/>
          <w:lang w:eastAsia="en-GB"/>
        </w:rPr>
        <w:t xml:space="preserve"> with</w:t>
      </w:r>
      <w:r w:rsidR="00F00313" w:rsidRPr="0081011C">
        <w:rPr>
          <w:rFonts w:cs="Georgia"/>
          <w:lang w:eastAsia="en-GB"/>
        </w:rPr>
        <w:t xml:space="preserve"> their competent authorities and a statement that these controlled entities do not receive any direct or indirect instructions from the parent undertaking in the</w:t>
      </w:r>
      <w:r w:rsidR="00EF2998" w:rsidRPr="0081011C">
        <w:rPr>
          <w:rFonts w:cs="Georgia"/>
          <w:lang w:eastAsia="en-GB"/>
        </w:rPr>
        <w:t xml:space="preserve"> exercise of the voting rights.</w:t>
      </w:r>
      <w:r w:rsidR="00A41CAF" w:rsidRPr="0081011C">
        <w:rPr>
          <w:rFonts w:cs="Georgia"/>
          <w:lang w:eastAsia="en-GB"/>
        </w:rPr>
        <w:t xml:space="preserve"> </w:t>
      </w:r>
    </w:p>
    <w:p w:rsidR="00F00313" w:rsidRPr="0081011C" w:rsidRDefault="00575769" w:rsidP="00054F1B">
      <w:pPr>
        <w:autoSpaceDE w:val="0"/>
        <w:autoSpaceDN w:val="0"/>
        <w:adjustRightInd w:val="0"/>
        <w:spacing w:after="180" w:line="240" w:lineRule="auto"/>
        <w:jc w:val="both"/>
        <w:rPr>
          <w:rFonts w:cs="Georgia"/>
          <w:lang w:eastAsia="en-GB"/>
        </w:rPr>
      </w:pPr>
      <w:r w:rsidRPr="00575769">
        <w:rPr>
          <w:rFonts w:cs="Georgia"/>
        </w:rPr>
        <w:t xml:space="preserve">In addition, </w:t>
      </w:r>
      <w:r w:rsidR="00C201D3">
        <w:rPr>
          <w:rFonts w:cs="Georgia"/>
        </w:rPr>
        <w:t xml:space="preserve">we </w:t>
      </w:r>
      <w:r w:rsidR="003F1C7D">
        <w:rPr>
          <w:rFonts w:cs="Georgia"/>
        </w:rPr>
        <w:t>understand</w:t>
      </w:r>
      <w:r w:rsidR="00C201D3">
        <w:rPr>
          <w:rFonts w:cs="Georgia"/>
        </w:rPr>
        <w:t xml:space="preserve"> </w:t>
      </w:r>
      <w:r w:rsidRPr="00575769">
        <w:rPr>
          <w:rFonts w:cs="Georgia"/>
        </w:rPr>
        <w:t xml:space="preserve">that the exemption applies to non-EU groups and non-EU controlled undertakings where it can be demonstrated that the relevant undertaking's market making </w:t>
      </w:r>
      <w:r w:rsidR="00A41CAF" w:rsidRPr="0081011C">
        <w:rPr>
          <w:rFonts w:cs="Georgia"/>
        </w:rPr>
        <w:t xml:space="preserve">and trading activities as well as </w:t>
      </w:r>
      <w:r w:rsidR="00C201D3">
        <w:rPr>
          <w:rFonts w:cs="Georgia"/>
        </w:rPr>
        <w:t>its</w:t>
      </w:r>
      <w:r w:rsidR="00A41CAF" w:rsidRPr="0081011C">
        <w:rPr>
          <w:rFonts w:cs="Georgia"/>
        </w:rPr>
        <w:t xml:space="preserve"> asset management activities meet the</w:t>
      </w:r>
      <w:r w:rsidR="00C201D3">
        <w:rPr>
          <w:rFonts w:cs="Georgia"/>
        </w:rPr>
        <w:t xml:space="preserve"> independence criteria on an on</w:t>
      </w:r>
      <w:r w:rsidR="00A41CAF" w:rsidRPr="0081011C">
        <w:rPr>
          <w:rFonts w:cs="Georgia"/>
        </w:rPr>
        <w:t>going basis</w:t>
      </w:r>
      <w:r w:rsidR="00003160">
        <w:rPr>
          <w:rFonts w:cs="Georgia"/>
        </w:rPr>
        <w:t xml:space="preserve"> as set out in the draft RTS</w:t>
      </w:r>
      <w:r w:rsidR="00A41CAF" w:rsidRPr="0081011C">
        <w:rPr>
          <w:rFonts w:cs="Georgia"/>
        </w:rPr>
        <w:t>.</w:t>
      </w:r>
    </w:p>
    <w:p w:rsidR="00F00313" w:rsidRPr="0081011C" w:rsidRDefault="00C83879" w:rsidP="00054F1B">
      <w:pPr>
        <w:autoSpaceDE w:val="0"/>
        <w:autoSpaceDN w:val="0"/>
        <w:adjustRightInd w:val="0"/>
        <w:spacing w:after="180" w:line="240" w:lineRule="auto"/>
        <w:jc w:val="both"/>
        <w:rPr>
          <w:rFonts w:cs="Georgia"/>
          <w:lang w:eastAsia="en-GB"/>
        </w:rPr>
      </w:pPr>
      <w:r w:rsidRPr="0081011C">
        <w:rPr>
          <w:rFonts w:cs="Georgia"/>
          <w:lang w:eastAsia="en-GB"/>
        </w:rPr>
        <w:t>However</w:t>
      </w:r>
      <w:r w:rsidR="00F00313" w:rsidRPr="0081011C">
        <w:rPr>
          <w:rFonts w:cs="Georgia"/>
          <w:lang w:eastAsia="en-GB"/>
        </w:rPr>
        <w:t xml:space="preserve">, rather than sending the declaration to </w:t>
      </w:r>
      <w:r w:rsidR="00003160">
        <w:rPr>
          <w:rFonts w:cs="Georgia"/>
          <w:lang w:eastAsia="en-GB"/>
        </w:rPr>
        <w:t xml:space="preserve">the </w:t>
      </w:r>
      <w:r w:rsidR="00EC4EB1">
        <w:rPr>
          <w:rFonts w:cs="Georgia"/>
          <w:lang w:eastAsia="en-GB"/>
        </w:rPr>
        <w:t xml:space="preserve">competent authority of </w:t>
      </w:r>
      <w:r w:rsidR="00F00313" w:rsidRPr="0081011C">
        <w:rPr>
          <w:rFonts w:cs="Georgia"/>
          <w:lang w:eastAsia="en-GB"/>
        </w:rPr>
        <w:t xml:space="preserve">the </w:t>
      </w:r>
      <w:r w:rsidR="00EC4EB1">
        <w:rPr>
          <w:rFonts w:cs="Georgia"/>
          <w:lang w:eastAsia="en-GB"/>
        </w:rPr>
        <w:t>M</w:t>
      </w:r>
      <w:r w:rsidR="00F00313" w:rsidRPr="0081011C">
        <w:rPr>
          <w:rFonts w:cs="Georgia"/>
          <w:lang w:eastAsia="en-GB"/>
        </w:rPr>
        <w:t xml:space="preserve">ember </w:t>
      </w:r>
      <w:r w:rsidR="00EC4EB1">
        <w:rPr>
          <w:rFonts w:cs="Georgia"/>
          <w:lang w:eastAsia="en-GB"/>
        </w:rPr>
        <w:t>S</w:t>
      </w:r>
      <w:r w:rsidR="00F00313" w:rsidRPr="0081011C">
        <w:rPr>
          <w:rFonts w:cs="Georgia"/>
          <w:lang w:eastAsia="en-GB"/>
        </w:rPr>
        <w:t xml:space="preserve">tate of the issuer, </w:t>
      </w:r>
      <w:r w:rsidR="00A41CAF" w:rsidRPr="0081011C">
        <w:rPr>
          <w:rFonts w:cs="Georgia"/>
          <w:lang w:eastAsia="en-GB"/>
        </w:rPr>
        <w:t>we</w:t>
      </w:r>
      <w:r w:rsidR="0057128B">
        <w:rPr>
          <w:rFonts w:cs="Georgia"/>
          <w:lang w:eastAsia="en-GB"/>
        </w:rPr>
        <w:t xml:space="preserve"> suggest adopting an approach </w:t>
      </w:r>
      <w:r w:rsidR="0057128B" w:rsidRPr="0057128B">
        <w:rPr>
          <w:rFonts w:cs="Georgia"/>
          <w:lang w:eastAsia="en-GB"/>
        </w:rPr>
        <w:t xml:space="preserve">in line with </w:t>
      </w:r>
      <w:r w:rsidR="0057128B">
        <w:rPr>
          <w:rFonts w:cs="Georgia"/>
          <w:lang w:eastAsia="en-GB"/>
        </w:rPr>
        <w:t>that</w:t>
      </w:r>
      <w:r w:rsidR="0057128B" w:rsidRPr="0057128B">
        <w:rPr>
          <w:rFonts w:cs="Georgia"/>
          <w:lang w:eastAsia="en-GB"/>
        </w:rPr>
        <w:t xml:space="preserve"> for </w:t>
      </w:r>
      <w:r w:rsidR="00F6161B">
        <w:rPr>
          <w:rFonts w:cs="Georgia"/>
          <w:lang w:eastAsia="en-GB"/>
        </w:rPr>
        <w:t>notifications</w:t>
      </w:r>
      <w:r w:rsidR="0057128B" w:rsidRPr="0057128B">
        <w:rPr>
          <w:rFonts w:cs="Georgia"/>
          <w:lang w:eastAsia="en-GB"/>
        </w:rPr>
        <w:t xml:space="preserve"> for the market making exemption under the Short Selling </w:t>
      </w:r>
      <w:r w:rsidR="0057128B">
        <w:rPr>
          <w:rFonts w:cs="Georgia"/>
          <w:lang w:eastAsia="en-GB"/>
        </w:rPr>
        <w:t>Regulation.</w:t>
      </w:r>
      <w:r w:rsidR="0057128B" w:rsidRPr="0057128B">
        <w:rPr>
          <w:rFonts w:cs="Georgia"/>
          <w:lang w:eastAsia="en-GB"/>
        </w:rPr>
        <w:t xml:space="preserve"> </w:t>
      </w:r>
      <w:r w:rsidR="00F00313" w:rsidRPr="0081011C">
        <w:rPr>
          <w:rFonts w:cs="Georgia"/>
          <w:lang w:eastAsia="en-GB"/>
        </w:rPr>
        <w:t xml:space="preserve"> </w:t>
      </w:r>
      <w:r w:rsidR="00637F20">
        <w:rPr>
          <w:rFonts w:cs="Georgia"/>
          <w:lang w:eastAsia="en-GB"/>
        </w:rPr>
        <w:t xml:space="preserve">Under this approach, a </w:t>
      </w:r>
      <w:r w:rsidR="00F00313" w:rsidRPr="0081011C">
        <w:rPr>
          <w:rFonts w:cs="Georgia"/>
          <w:lang w:eastAsia="en-GB"/>
        </w:rPr>
        <w:t>parent undertaking</w:t>
      </w:r>
      <w:r w:rsidR="00943999">
        <w:rPr>
          <w:rFonts w:cs="Georgia"/>
          <w:lang w:eastAsia="en-GB"/>
        </w:rPr>
        <w:t xml:space="preserve"> which has a</w:t>
      </w:r>
      <w:r w:rsidR="00DA22CC" w:rsidRPr="00DA22CC">
        <w:rPr>
          <w:rFonts w:cs="Georgia"/>
          <w:lang w:eastAsia="en-GB"/>
        </w:rPr>
        <w:t xml:space="preserve"> home </w:t>
      </w:r>
      <w:r w:rsidR="0024724B">
        <w:rPr>
          <w:rFonts w:cs="Georgia"/>
          <w:lang w:eastAsia="en-GB"/>
        </w:rPr>
        <w:t>Member State</w:t>
      </w:r>
      <w:r w:rsidR="00F00313" w:rsidRPr="0081011C">
        <w:rPr>
          <w:rFonts w:cs="Georgia"/>
          <w:lang w:eastAsia="en-GB"/>
        </w:rPr>
        <w:t xml:space="preserve"> </w:t>
      </w:r>
      <w:r w:rsidR="0057128B">
        <w:rPr>
          <w:rFonts w:cs="Georgia"/>
          <w:lang w:eastAsia="en-GB"/>
        </w:rPr>
        <w:t>w</w:t>
      </w:r>
      <w:r w:rsidR="00F00313" w:rsidRPr="0081011C">
        <w:rPr>
          <w:rFonts w:cs="Georgia"/>
          <w:lang w:eastAsia="en-GB"/>
        </w:rPr>
        <w:t>ould send the declaration to its</w:t>
      </w:r>
      <w:r w:rsidR="00003160">
        <w:rPr>
          <w:rFonts w:cs="Georgia"/>
          <w:lang w:eastAsia="en-GB"/>
        </w:rPr>
        <w:t xml:space="preserve"> own</w:t>
      </w:r>
      <w:r w:rsidR="00F00313" w:rsidRPr="0081011C">
        <w:rPr>
          <w:rFonts w:cs="Georgia"/>
          <w:lang w:eastAsia="en-GB"/>
        </w:rPr>
        <w:t xml:space="preserve"> competent authority</w:t>
      </w:r>
      <w:r w:rsidR="00E3540E">
        <w:rPr>
          <w:rFonts w:cs="Georgia"/>
          <w:lang w:eastAsia="en-GB"/>
        </w:rPr>
        <w:t>, which c</w:t>
      </w:r>
      <w:r w:rsidR="0057128B">
        <w:rPr>
          <w:rFonts w:cs="Georgia"/>
          <w:lang w:eastAsia="en-GB"/>
        </w:rPr>
        <w:t>ould then notify ESMA that it has</w:t>
      </w:r>
      <w:r w:rsidR="0057128B" w:rsidRPr="0057128B">
        <w:rPr>
          <w:rFonts w:cs="Georgia"/>
          <w:lang w:eastAsia="en-GB"/>
        </w:rPr>
        <w:t xml:space="preserve"> received </w:t>
      </w:r>
      <w:r w:rsidR="0057128B">
        <w:rPr>
          <w:rFonts w:cs="Georgia"/>
          <w:lang w:eastAsia="en-GB"/>
        </w:rPr>
        <w:t>such</w:t>
      </w:r>
      <w:r w:rsidR="0057128B" w:rsidRPr="0057128B">
        <w:rPr>
          <w:rFonts w:cs="Georgia"/>
          <w:lang w:eastAsia="en-GB"/>
        </w:rPr>
        <w:t xml:space="preserve"> notification from the </w:t>
      </w:r>
      <w:r w:rsidR="0057128B">
        <w:rPr>
          <w:rFonts w:cs="Georgia"/>
          <w:lang w:eastAsia="en-GB"/>
        </w:rPr>
        <w:t>parent undertaking</w:t>
      </w:r>
      <w:r w:rsidR="00E3540E">
        <w:rPr>
          <w:rFonts w:cs="Georgia"/>
          <w:lang w:eastAsia="en-GB"/>
        </w:rPr>
        <w:t xml:space="preserve">.  </w:t>
      </w:r>
      <w:r w:rsidR="00F6161B">
        <w:rPr>
          <w:rFonts w:cs="Georgia"/>
          <w:lang w:eastAsia="en-GB"/>
        </w:rPr>
        <w:t xml:space="preserve">A parent </w:t>
      </w:r>
      <w:r w:rsidR="00F6161B">
        <w:rPr>
          <w:rFonts w:cs="Georgia"/>
          <w:lang w:eastAsia="en-GB"/>
        </w:rPr>
        <w:lastRenderedPageBreak/>
        <w:t xml:space="preserve">undertaking which is a third country entity would send its notification to the competent authority of the main trading venue in the European Union in which it trades.  </w:t>
      </w:r>
      <w:r w:rsidR="00E3540E">
        <w:rPr>
          <w:rFonts w:cs="Georgia"/>
          <w:lang w:eastAsia="en-GB"/>
        </w:rPr>
        <w:t>ESMA c</w:t>
      </w:r>
      <w:r w:rsidR="0057128B">
        <w:rPr>
          <w:rFonts w:cs="Georgia"/>
          <w:lang w:eastAsia="en-GB"/>
        </w:rPr>
        <w:t>ould</w:t>
      </w:r>
      <w:r w:rsidR="0057128B" w:rsidRPr="0057128B">
        <w:rPr>
          <w:rFonts w:cs="Georgia"/>
          <w:lang w:eastAsia="en-GB"/>
        </w:rPr>
        <w:t xml:space="preserve"> </w:t>
      </w:r>
      <w:r w:rsidR="0057128B">
        <w:rPr>
          <w:rFonts w:cs="Georgia"/>
          <w:lang w:eastAsia="en-GB"/>
        </w:rPr>
        <w:t>then publish and maintain</w:t>
      </w:r>
      <w:r w:rsidR="0057128B" w:rsidRPr="0057128B">
        <w:rPr>
          <w:rFonts w:cs="Georgia"/>
          <w:lang w:eastAsia="en-GB"/>
        </w:rPr>
        <w:t xml:space="preserve"> </w:t>
      </w:r>
      <w:r w:rsidR="0057128B">
        <w:rPr>
          <w:rFonts w:cs="Georgia"/>
          <w:lang w:eastAsia="en-GB"/>
        </w:rPr>
        <w:t xml:space="preserve">on its website </w:t>
      </w:r>
      <w:r w:rsidR="0057128B" w:rsidRPr="0057128B">
        <w:rPr>
          <w:rFonts w:cs="Georgia"/>
          <w:lang w:eastAsia="en-GB"/>
        </w:rPr>
        <w:t>a list of</w:t>
      </w:r>
      <w:r w:rsidR="00E3540E">
        <w:rPr>
          <w:rFonts w:cs="Georgia"/>
          <w:lang w:eastAsia="en-GB"/>
        </w:rPr>
        <w:t xml:space="preserve"> all parent undertakings that have given such notifications</w:t>
      </w:r>
      <w:r w:rsidR="00F00313" w:rsidRPr="0081011C">
        <w:rPr>
          <w:rFonts w:cs="Georgia"/>
          <w:lang w:eastAsia="en-GB"/>
        </w:rPr>
        <w:t xml:space="preserve">. </w:t>
      </w:r>
      <w:r w:rsidR="00EC4EB1">
        <w:rPr>
          <w:rFonts w:cs="Georgia"/>
          <w:lang w:eastAsia="en-GB"/>
        </w:rPr>
        <w:t>This</w:t>
      </w:r>
      <w:r w:rsidR="00EC4EB1" w:rsidRPr="0081011C">
        <w:rPr>
          <w:rFonts w:cs="Georgia"/>
          <w:lang w:eastAsia="en-GB"/>
        </w:rPr>
        <w:t xml:space="preserve"> </w:t>
      </w:r>
      <w:r w:rsidR="00F00313" w:rsidRPr="0081011C">
        <w:rPr>
          <w:rFonts w:cs="Georgia"/>
          <w:lang w:eastAsia="en-GB"/>
        </w:rPr>
        <w:t>would</w:t>
      </w:r>
      <w:r w:rsidR="00977F5A">
        <w:rPr>
          <w:rFonts w:cs="Georgia"/>
          <w:lang w:eastAsia="en-GB"/>
        </w:rPr>
        <w:t xml:space="preserve"> efficiently</w:t>
      </w:r>
      <w:r w:rsidR="00F00313" w:rsidRPr="0081011C">
        <w:rPr>
          <w:rFonts w:cs="Georgia"/>
          <w:lang w:eastAsia="en-GB"/>
        </w:rPr>
        <w:t xml:space="preserve"> </w:t>
      </w:r>
      <w:r w:rsidR="00DA7961" w:rsidRPr="0081011C">
        <w:rPr>
          <w:rFonts w:cs="Georgia"/>
          <w:lang w:eastAsia="en-GB"/>
        </w:rPr>
        <w:t xml:space="preserve">centralise all </w:t>
      </w:r>
      <w:r w:rsidR="00E3540E">
        <w:rPr>
          <w:rFonts w:cs="Georgia"/>
          <w:lang w:eastAsia="en-GB"/>
        </w:rPr>
        <w:t>notifications relating to</w:t>
      </w:r>
      <w:r w:rsidR="00DA7961" w:rsidRPr="0081011C">
        <w:rPr>
          <w:rFonts w:cs="Georgia"/>
          <w:lang w:eastAsia="en-GB"/>
        </w:rPr>
        <w:t xml:space="preserve"> the same group</w:t>
      </w:r>
      <w:r w:rsidR="00F6161B">
        <w:rPr>
          <w:rFonts w:cs="Georgia"/>
          <w:lang w:eastAsia="en-GB"/>
        </w:rPr>
        <w:t xml:space="preserve"> and avoid the need for multiple notifications to competent authorities in Member States</w:t>
      </w:r>
      <w:r w:rsidR="00DA7961" w:rsidRPr="0081011C">
        <w:rPr>
          <w:rFonts w:cs="Georgia"/>
          <w:lang w:eastAsia="en-GB"/>
        </w:rPr>
        <w:t xml:space="preserve">. </w:t>
      </w:r>
    </w:p>
    <w:p w:rsidR="00F00313" w:rsidRPr="0081011C" w:rsidRDefault="000A79BE" w:rsidP="00054F1B">
      <w:pPr>
        <w:autoSpaceDE w:val="0"/>
        <w:autoSpaceDN w:val="0"/>
        <w:adjustRightInd w:val="0"/>
        <w:spacing w:after="180" w:line="240" w:lineRule="auto"/>
        <w:jc w:val="both"/>
        <w:rPr>
          <w:rFonts w:cs="Georgia"/>
          <w:lang w:eastAsia="en-GB"/>
        </w:rPr>
      </w:pPr>
      <w:r>
        <w:rPr>
          <w:rFonts w:cs="Georgia"/>
          <w:lang w:eastAsia="en-GB"/>
        </w:rPr>
        <w:t>We</w:t>
      </w:r>
      <w:r w:rsidR="00F00313" w:rsidRPr="0081011C">
        <w:rPr>
          <w:rFonts w:cs="Georgia"/>
          <w:lang w:eastAsia="en-GB"/>
        </w:rPr>
        <w:t xml:space="preserve"> support ESMA</w:t>
      </w:r>
      <w:r w:rsidR="00054F1B">
        <w:rPr>
          <w:rFonts w:cs="Georgia"/>
          <w:lang w:eastAsia="en-GB"/>
        </w:rPr>
        <w:t>'</w:t>
      </w:r>
      <w:r w:rsidR="00F00313" w:rsidRPr="0081011C">
        <w:rPr>
          <w:rFonts w:cs="Georgia"/>
          <w:lang w:eastAsia="en-GB"/>
        </w:rPr>
        <w:t xml:space="preserve">s view that </w:t>
      </w:r>
      <w:r w:rsidR="00E41D50" w:rsidRPr="0081011C">
        <w:rPr>
          <w:rFonts w:cs="Georgia"/>
          <w:lang w:eastAsia="en-GB"/>
        </w:rPr>
        <w:t xml:space="preserve">the parent undertaking of the group </w:t>
      </w:r>
      <w:r>
        <w:rPr>
          <w:rFonts w:cs="Georgia"/>
          <w:lang w:eastAsia="en-GB"/>
        </w:rPr>
        <w:t>and the credit</w:t>
      </w:r>
      <w:r w:rsidR="00943999">
        <w:rPr>
          <w:rFonts w:cs="Georgia"/>
          <w:lang w:eastAsia="en-GB"/>
        </w:rPr>
        <w:t xml:space="preserve"> institution or investment firm</w:t>
      </w:r>
      <w:r>
        <w:rPr>
          <w:rFonts w:cs="Georgia"/>
          <w:lang w:eastAsia="en-GB"/>
        </w:rPr>
        <w:t xml:space="preserve"> should </w:t>
      </w:r>
      <w:r w:rsidR="00E41D50" w:rsidRPr="0081011C">
        <w:rPr>
          <w:rFonts w:cs="Georgia"/>
          <w:lang w:eastAsia="en-GB"/>
        </w:rPr>
        <w:t>establish written policies and procedures reasonably designed to prevent the distribution</w:t>
      </w:r>
      <w:r>
        <w:rPr>
          <w:rFonts w:cs="Georgia"/>
          <w:lang w:eastAsia="en-GB"/>
        </w:rPr>
        <w:t xml:space="preserve"> of</w:t>
      </w:r>
      <w:r w:rsidR="00E41D50" w:rsidRPr="0081011C">
        <w:rPr>
          <w:rFonts w:cs="Georgia"/>
          <w:lang w:eastAsia="en-GB"/>
        </w:rPr>
        <w:t xml:space="preserve"> information between the parent undertaking and the credit institution or investment firm in relation to the exercise of voting rights. </w:t>
      </w:r>
    </w:p>
    <w:p w:rsidR="00D118A0" w:rsidRPr="00DF732A" w:rsidRDefault="00D118A0" w:rsidP="00054F1B">
      <w:pPr>
        <w:autoSpaceDE w:val="0"/>
        <w:autoSpaceDN w:val="0"/>
        <w:adjustRightInd w:val="0"/>
        <w:spacing w:after="180" w:line="240" w:lineRule="auto"/>
        <w:jc w:val="both"/>
        <w:rPr>
          <w:rFonts w:cs="Georgia"/>
          <w:b/>
          <w:bCs/>
          <w:i/>
          <w:color w:val="000000"/>
          <w:lang w:eastAsia="en-GB"/>
        </w:rPr>
      </w:pPr>
      <w:r w:rsidRPr="00DF732A">
        <w:rPr>
          <w:rFonts w:cs="Georgia"/>
          <w:b/>
          <w:bCs/>
          <w:i/>
          <w:color w:val="000000"/>
          <w:lang w:eastAsia="en-GB"/>
        </w:rPr>
        <w:t>Q7: Please provide an estimate on how many times a year would your group have to report a major disclosure under the current regime in co</w:t>
      </w:r>
      <w:r w:rsidR="004D3236" w:rsidRPr="00DF732A">
        <w:rPr>
          <w:rFonts w:cs="Georgia"/>
          <w:b/>
          <w:bCs/>
          <w:i/>
          <w:color w:val="000000"/>
          <w:lang w:eastAsia="en-GB"/>
        </w:rPr>
        <w:t>mparison to Option 1. Please in</w:t>
      </w:r>
      <w:r w:rsidRPr="00DF732A">
        <w:rPr>
          <w:rFonts w:cs="Georgia"/>
          <w:b/>
          <w:bCs/>
          <w:i/>
          <w:color w:val="000000"/>
          <w:lang w:eastAsia="en-GB"/>
        </w:rPr>
        <w:t>clude an estimate of the one-off or on-going costs involved.</w:t>
      </w:r>
    </w:p>
    <w:p w:rsidR="00C53DF7" w:rsidRPr="00DF732A" w:rsidRDefault="000A79BE" w:rsidP="00054F1B">
      <w:pPr>
        <w:autoSpaceDE w:val="0"/>
        <w:autoSpaceDN w:val="0"/>
        <w:adjustRightInd w:val="0"/>
        <w:spacing w:after="180" w:line="240" w:lineRule="auto"/>
        <w:jc w:val="both"/>
        <w:rPr>
          <w:rFonts w:cs="Georgia"/>
        </w:rPr>
      </w:pPr>
      <w:r>
        <w:rPr>
          <w:rFonts w:cs="Georgia"/>
        </w:rPr>
        <w:t>G</w:t>
      </w:r>
      <w:r w:rsidR="00C53DF7" w:rsidRPr="00DF732A">
        <w:rPr>
          <w:rFonts w:cs="Georgia"/>
        </w:rPr>
        <w:t xml:space="preserve">enerally </w:t>
      </w:r>
      <w:r w:rsidR="00EC4EB1">
        <w:rPr>
          <w:rFonts w:cs="Georgia"/>
        </w:rPr>
        <w:t>O</w:t>
      </w:r>
      <w:r w:rsidR="00C53DF7" w:rsidRPr="00DF732A">
        <w:rPr>
          <w:rFonts w:cs="Georgia"/>
        </w:rPr>
        <w:t xml:space="preserve">ption 1 would require </w:t>
      </w:r>
      <w:r>
        <w:rPr>
          <w:rFonts w:cs="Georgia"/>
        </w:rPr>
        <w:t>more</w:t>
      </w:r>
      <w:r w:rsidRPr="00DF732A">
        <w:rPr>
          <w:rFonts w:cs="Georgia"/>
        </w:rPr>
        <w:t xml:space="preserve"> </w:t>
      </w:r>
      <w:r w:rsidR="00C53DF7" w:rsidRPr="00DF732A">
        <w:rPr>
          <w:rFonts w:cs="Georgia"/>
        </w:rPr>
        <w:t xml:space="preserve">reporting than </w:t>
      </w:r>
      <w:r w:rsidR="00EC4EB1">
        <w:rPr>
          <w:rFonts w:cs="Georgia"/>
        </w:rPr>
        <w:t xml:space="preserve">the </w:t>
      </w:r>
      <w:r w:rsidR="00C53DF7" w:rsidRPr="00DF732A">
        <w:rPr>
          <w:rFonts w:cs="Georgia"/>
        </w:rPr>
        <w:t>current</w:t>
      </w:r>
      <w:r w:rsidR="00EC4EB1">
        <w:rPr>
          <w:rFonts w:cs="Georgia"/>
        </w:rPr>
        <w:t xml:space="preserve"> regime requires</w:t>
      </w:r>
      <w:r w:rsidR="00C53DF7" w:rsidRPr="00DF732A">
        <w:rPr>
          <w:rFonts w:cs="Georgia"/>
        </w:rPr>
        <w:t xml:space="preserve"> since there is</w:t>
      </w:r>
      <w:r>
        <w:rPr>
          <w:rFonts w:cs="Georgia"/>
        </w:rPr>
        <w:t xml:space="preserve"> currently</w:t>
      </w:r>
      <w:r w:rsidR="00C53DF7" w:rsidRPr="00DF732A">
        <w:rPr>
          <w:rFonts w:cs="Georgia"/>
        </w:rPr>
        <w:t xml:space="preserve"> no requirement to </w:t>
      </w:r>
      <w:r w:rsidR="00E66FEF">
        <w:rPr>
          <w:rFonts w:cs="Georgia"/>
        </w:rPr>
        <w:t>aggregate</w:t>
      </w:r>
      <w:r w:rsidR="00C53DF7" w:rsidRPr="00DF732A">
        <w:rPr>
          <w:rFonts w:cs="Georgia"/>
        </w:rPr>
        <w:t xml:space="preserve"> </w:t>
      </w:r>
      <w:r w:rsidR="00EC4EB1">
        <w:rPr>
          <w:rFonts w:cs="Georgia"/>
        </w:rPr>
        <w:t xml:space="preserve">cash-settled instruments </w:t>
      </w:r>
      <w:r w:rsidR="00C53DF7" w:rsidRPr="00DF732A">
        <w:rPr>
          <w:rFonts w:cs="Georgia"/>
        </w:rPr>
        <w:t>which are economically</w:t>
      </w:r>
      <w:r w:rsidR="00A41CAF" w:rsidRPr="00DF732A">
        <w:rPr>
          <w:rFonts w:cs="Georgia"/>
        </w:rPr>
        <w:t xml:space="preserve"> equivalent to physical shares</w:t>
      </w:r>
      <w:r w:rsidR="00E66FEF">
        <w:rPr>
          <w:rFonts w:cs="Georgia"/>
        </w:rPr>
        <w:t>, although some Member States have implemented this</w:t>
      </w:r>
      <w:r w:rsidR="00EC4EB1">
        <w:rPr>
          <w:rFonts w:cs="Georgia"/>
        </w:rPr>
        <w:t>. H</w:t>
      </w:r>
      <w:r>
        <w:rPr>
          <w:rFonts w:cs="Georgia"/>
        </w:rPr>
        <w:t>owever</w:t>
      </w:r>
      <w:r w:rsidR="00EC4EB1">
        <w:rPr>
          <w:rFonts w:cs="Georgia"/>
        </w:rPr>
        <w:t>,</w:t>
      </w:r>
      <w:r>
        <w:rPr>
          <w:rFonts w:cs="Georgia"/>
        </w:rPr>
        <w:t xml:space="preserve"> the costs associated with </w:t>
      </w:r>
      <w:r w:rsidR="00EC4EB1">
        <w:rPr>
          <w:rFonts w:cs="Georgia"/>
        </w:rPr>
        <w:t>such</w:t>
      </w:r>
      <w:r>
        <w:rPr>
          <w:rFonts w:cs="Georgia"/>
        </w:rPr>
        <w:t xml:space="preserve"> increase in reporting are difficult to quantify</w:t>
      </w:r>
      <w:r w:rsidR="00A41CAF" w:rsidRPr="00DF732A">
        <w:rPr>
          <w:rFonts w:cs="Georgia"/>
        </w:rPr>
        <w:t>.</w:t>
      </w:r>
    </w:p>
    <w:p w:rsidR="00D118A0" w:rsidRPr="00DF732A" w:rsidRDefault="00D118A0" w:rsidP="00054F1B">
      <w:pPr>
        <w:pStyle w:val="Default"/>
        <w:spacing w:after="180"/>
        <w:jc w:val="both"/>
        <w:rPr>
          <w:rFonts w:ascii="Calibri" w:hAnsi="Calibri" w:cs="Calibri"/>
          <w:b/>
          <w:i/>
          <w:color w:val="auto"/>
          <w:sz w:val="22"/>
          <w:szCs w:val="22"/>
          <w:lang w:val="en-GB"/>
        </w:rPr>
      </w:pPr>
      <w:r w:rsidRPr="00DF732A">
        <w:rPr>
          <w:rFonts w:ascii="Calibri" w:hAnsi="Calibri" w:cs="Georgia"/>
          <w:b/>
          <w:bCs/>
          <w:i/>
          <w:sz w:val="22"/>
          <w:szCs w:val="22"/>
          <w:lang w:eastAsia="en-GB"/>
        </w:rPr>
        <w:t xml:space="preserve">Q8: Do you think that Option 2 poses any further enforceability issues than Option 1? If yes, what kind of issues can you foresee arising out of it? Can you propose an alternative approach? </w:t>
      </w:r>
    </w:p>
    <w:p w:rsidR="00C53DF7" w:rsidRPr="00DF732A" w:rsidRDefault="00A41CAF" w:rsidP="00054F1B">
      <w:pPr>
        <w:pStyle w:val="Default"/>
        <w:spacing w:after="180"/>
        <w:jc w:val="both"/>
        <w:rPr>
          <w:rFonts w:ascii="Calibri" w:hAnsi="Calibri" w:cs="Calibri"/>
          <w:color w:val="auto"/>
          <w:sz w:val="22"/>
          <w:szCs w:val="22"/>
        </w:rPr>
      </w:pPr>
      <w:r w:rsidRPr="00DF732A">
        <w:rPr>
          <w:rFonts w:ascii="Calibri" w:hAnsi="Calibri" w:cs="Georgia"/>
          <w:color w:val="auto"/>
          <w:sz w:val="22"/>
          <w:szCs w:val="22"/>
        </w:rPr>
        <w:t xml:space="preserve">Since regulators already monitor the risk levels and compliance of trading desks with related policies and articulated risk limits, regulators should be equipped to oversee and enforce the disclosure regime. </w:t>
      </w:r>
      <w:r w:rsidR="00E3540E">
        <w:rPr>
          <w:rFonts w:ascii="Calibri" w:hAnsi="Calibri" w:cs="Georgia"/>
          <w:color w:val="auto"/>
          <w:sz w:val="22"/>
          <w:szCs w:val="22"/>
        </w:rPr>
        <w:t>In a</w:t>
      </w:r>
      <w:r w:rsidR="0064006F">
        <w:rPr>
          <w:rFonts w:ascii="Calibri" w:hAnsi="Calibri" w:cs="Georgia"/>
          <w:color w:val="auto"/>
          <w:sz w:val="22"/>
          <w:szCs w:val="22"/>
        </w:rPr>
        <w:t>ddition</w:t>
      </w:r>
      <w:r w:rsidR="00E3540E" w:rsidRPr="00E3540E">
        <w:rPr>
          <w:rFonts w:ascii="Calibri" w:hAnsi="Calibri" w:cs="Georgia"/>
          <w:color w:val="auto"/>
          <w:sz w:val="22"/>
          <w:szCs w:val="22"/>
        </w:rPr>
        <w:t xml:space="preserve">, the approach proposed in response to </w:t>
      </w:r>
      <w:r w:rsidR="00E3540E">
        <w:rPr>
          <w:rFonts w:ascii="Calibri" w:hAnsi="Calibri" w:cs="Georgia"/>
          <w:color w:val="auto"/>
          <w:sz w:val="22"/>
          <w:szCs w:val="22"/>
        </w:rPr>
        <w:t>Q6 above would make</w:t>
      </w:r>
      <w:r w:rsidR="00E3540E" w:rsidRPr="00E3540E">
        <w:rPr>
          <w:rFonts w:ascii="Calibri" w:hAnsi="Calibri" w:cs="Georgia"/>
          <w:color w:val="auto"/>
          <w:sz w:val="22"/>
          <w:szCs w:val="22"/>
        </w:rPr>
        <w:t xml:space="preserve"> the market</w:t>
      </w:r>
      <w:r w:rsidR="00E3540E">
        <w:rPr>
          <w:rFonts w:ascii="Calibri" w:hAnsi="Calibri" w:cs="Georgia"/>
          <w:color w:val="auto"/>
          <w:sz w:val="22"/>
          <w:szCs w:val="22"/>
        </w:rPr>
        <w:t>,</w:t>
      </w:r>
      <w:r w:rsidR="00E3540E" w:rsidRPr="00E3540E">
        <w:rPr>
          <w:rFonts w:ascii="Calibri" w:hAnsi="Calibri" w:cs="Georgia"/>
          <w:color w:val="auto"/>
          <w:sz w:val="22"/>
          <w:szCs w:val="22"/>
        </w:rPr>
        <w:t xml:space="preserve"> </w:t>
      </w:r>
      <w:r w:rsidR="00E3540E">
        <w:rPr>
          <w:rFonts w:ascii="Calibri" w:hAnsi="Calibri" w:cs="Georgia"/>
          <w:color w:val="auto"/>
          <w:sz w:val="22"/>
          <w:szCs w:val="22"/>
        </w:rPr>
        <w:t>regulators</w:t>
      </w:r>
      <w:r w:rsidR="00E3540E" w:rsidRPr="00E3540E">
        <w:rPr>
          <w:rFonts w:ascii="Calibri" w:hAnsi="Calibri" w:cs="Georgia"/>
          <w:color w:val="auto"/>
          <w:sz w:val="22"/>
          <w:szCs w:val="22"/>
        </w:rPr>
        <w:t xml:space="preserve"> and ESMA aware of entities making use of the exemption thereby enhancing transparency</w:t>
      </w:r>
      <w:r w:rsidR="00E3540E">
        <w:rPr>
          <w:rFonts w:ascii="Calibri" w:hAnsi="Calibri" w:cs="Georgia"/>
          <w:color w:val="auto"/>
          <w:sz w:val="22"/>
          <w:szCs w:val="22"/>
        </w:rPr>
        <w:t>.</w:t>
      </w:r>
      <w:r w:rsidR="00E3540E" w:rsidRPr="00E3540E">
        <w:rPr>
          <w:rFonts w:ascii="Calibri" w:hAnsi="Calibri" w:cs="Georgia"/>
          <w:color w:val="auto"/>
          <w:sz w:val="22"/>
          <w:szCs w:val="22"/>
        </w:rPr>
        <w:t xml:space="preserve"> </w:t>
      </w:r>
      <w:r w:rsidRPr="00DF732A">
        <w:rPr>
          <w:rFonts w:ascii="Calibri" w:hAnsi="Calibri" w:cs="Georgia"/>
          <w:color w:val="auto"/>
          <w:sz w:val="22"/>
          <w:szCs w:val="22"/>
        </w:rPr>
        <w:t>There should be no significant enforcement difficulties posed by Option 2 when compared with Option 1.</w:t>
      </w:r>
    </w:p>
    <w:p w:rsidR="00A41CAF" w:rsidRPr="00DF732A" w:rsidRDefault="00E82DF5" w:rsidP="00054F1B">
      <w:pPr>
        <w:autoSpaceDE w:val="0"/>
        <w:autoSpaceDN w:val="0"/>
        <w:adjustRightInd w:val="0"/>
        <w:spacing w:after="180" w:line="240" w:lineRule="auto"/>
        <w:ind w:left="40" w:right="-23"/>
        <w:jc w:val="both"/>
        <w:rPr>
          <w:rFonts w:cs="Georgia"/>
          <w:i/>
          <w:color w:val="7030A0"/>
          <w:sz w:val="28"/>
          <w:szCs w:val="28"/>
          <w:lang w:eastAsia="en-GB"/>
        </w:rPr>
      </w:pPr>
      <w:r w:rsidRPr="00DF732A">
        <w:rPr>
          <w:rFonts w:cs="Georgia"/>
          <w:b/>
          <w:bCs/>
          <w:i/>
          <w:color w:val="7030A0"/>
          <w:spacing w:val="7"/>
          <w:sz w:val="28"/>
          <w:szCs w:val="28"/>
          <w:lang w:val="en-US" w:eastAsia="en-GB"/>
        </w:rPr>
        <w:t>Method</w:t>
      </w:r>
      <w:r w:rsidR="00A41CAF" w:rsidRPr="00DF732A">
        <w:rPr>
          <w:rFonts w:cs="Georgia"/>
          <w:b/>
          <w:bCs/>
          <w:i/>
          <w:color w:val="7030A0"/>
          <w:spacing w:val="-8"/>
          <w:sz w:val="28"/>
          <w:szCs w:val="28"/>
          <w:lang w:eastAsia="en-GB"/>
        </w:rPr>
        <w:t xml:space="preserve"> </w:t>
      </w:r>
      <w:r w:rsidR="00A41CAF" w:rsidRPr="00DF732A">
        <w:rPr>
          <w:rFonts w:cs="Georgia"/>
          <w:b/>
          <w:bCs/>
          <w:i/>
          <w:color w:val="7030A0"/>
          <w:spacing w:val="1"/>
          <w:sz w:val="28"/>
          <w:szCs w:val="28"/>
          <w:lang w:eastAsia="en-GB"/>
        </w:rPr>
        <w:t>o</w:t>
      </w:r>
      <w:r w:rsidR="00A41CAF" w:rsidRPr="00DF732A">
        <w:rPr>
          <w:rFonts w:cs="Georgia"/>
          <w:b/>
          <w:bCs/>
          <w:i/>
          <w:color w:val="7030A0"/>
          <w:sz w:val="28"/>
          <w:szCs w:val="28"/>
          <w:lang w:eastAsia="en-GB"/>
        </w:rPr>
        <w:t>f</w:t>
      </w:r>
      <w:r w:rsidR="00A41CAF" w:rsidRPr="00DF732A">
        <w:rPr>
          <w:rFonts w:cs="Georgia"/>
          <w:b/>
          <w:bCs/>
          <w:i/>
          <w:color w:val="7030A0"/>
          <w:spacing w:val="-1"/>
          <w:sz w:val="28"/>
          <w:szCs w:val="28"/>
          <w:lang w:eastAsia="en-GB"/>
        </w:rPr>
        <w:t xml:space="preserve"> </w:t>
      </w:r>
      <w:r w:rsidR="00A41CAF" w:rsidRPr="00DF732A">
        <w:rPr>
          <w:rFonts w:cs="Georgia"/>
          <w:b/>
          <w:bCs/>
          <w:i/>
          <w:color w:val="7030A0"/>
          <w:spacing w:val="2"/>
          <w:sz w:val="28"/>
          <w:szCs w:val="28"/>
          <w:lang w:eastAsia="en-GB"/>
        </w:rPr>
        <w:t>c</w:t>
      </w:r>
      <w:r w:rsidR="00A41CAF" w:rsidRPr="00DF732A">
        <w:rPr>
          <w:rFonts w:cs="Georgia"/>
          <w:b/>
          <w:bCs/>
          <w:i/>
          <w:color w:val="7030A0"/>
          <w:spacing w:val="-1"/>
          <w:sz w:val="28"/>
          <w:szCs w:val="28"/>
          <w:lang w:eastAsia="en-GB"/>
        </w:rPr>
        <w:t>a</w:t>
      </w:r>
      <w:r w:rsidR="00A41CAF" w:rsidRPr="00DF732A">
        <w:rPr>
          <w:rFonts w:cs="Georgia"/>
          <w:b/>
          <w:bCs/>
          <w:i/>
          <w:color w:val="7030A0"/>
          <w:spacing w:val="1"/>
          <w:sz w:val="28"/>
          <w:szCs w:val="28"/>
          <w:lang w:eastAsia="en-GB"/>
        </w:rPr>
        <w:t>l</w:t>
      </w:r>
      <w:r w:rsidR="00A41CAF" w:rsidRPr="00DF732A">
        <w:rPr>
          <w:rFonts w:cs="Georgia"/>
          <w:b/>
          <w:bCs/>
          <w:i/>
          <w:color w:val="7030A0"/>
          <w:sz w:val="28"/>
          <w:szCs w:val="28"/>
          <w:lang w:eastAsia="en-GB"/>
        </w:rPr>
        <w:t>c</w:t>
      </w:r>
      <w:r w:rsidR="00A41CAF" w:rsidRPr="00DF732A">
        <w:rPr>
          <w:rFonts w:cs="Georgia"/>
          <w:b/>
          <w:bCs/>
          <w:i/>
          <w:color w:val="7030A0"/>
          <w:spacing w:val="-1"/>
          <w:sz w:val="28"/>
          <w:szCs w:val="28"/>
          <w:lang w:eastAsia="en-GB"/>
        </w:rPr>
        <w:t>u</w:t>
      </w:r>
      <w:r w:rsidR="00A41CAF" w:rsidRPr="00DF732A">
        <w:rPr>
          <w:rFonts w:cs="Georgia"/>
          <w:b/>
          <w:bCs/>
          <w:i/>
          <w:color w:val="7030A0"/>
          <w:spacing w:val="3"/>
          <w:sz w:val="28"/>
          <w:szCs w:val="28"/>
          <w:lang w:eastAsia="en-GB"/>
        </w:rPr>
        <w:t>l</w:t>
      </w:r>
      <w:r w:rsidR="00A41CAF" w:rsidRPr="00DF732A">
        <w:rPr>
          <w:rFonts w:cs="Georgia"/>
          <w:b/>
          <w:bCs/>
          <w:i/>
          <w:color w:val="7030A0"/>
          <w:spacing w:val="-1"/>
          <w:sz w:val="28"/>
          <w:szCs w:val="28"/>
          <w:lang w:eastAsia="en-GB"/>
        </w:rPr>
        <w:t>a</w:t>
      </w:r>
      <w:r w:rsidR="00A41CAF" w:rsidRPr="00DF732A">
        <w:rPr>
          <w:rFonts w:cs="Georgia"/>
          <w:b/>
          <w:bCs/>
          <w:i/>
          <w:color w:val="7030A0"/>
          <w:spacing w:val="1"/>
          <w:sz w:val="28"/>
          <w:szCs w:val="28"/>
          <w:lang w:eastAsia="en-GB"/>
        </w:rPr>
        <w:t>ti</w:t>
      </w:r>
      <w:r w:rsidR="00A41CAF" w:rsidRPr="00DF732A">
        <w:rPr>
          <w:rFonts w:cs="Georgia"/>
          <w:b/>
          <w:bCs/>
          <w:i/>
          <w:color w:val="7030A0"/>
          <w:spacing w:val="-1"/>
          <w:sz w:val="28"/>
          <w:szCs w:val="28"/>
          <w:lang w:eastAsia="en-GB"/>
        </w:rPr>
        <w:t>n</w:t>
      </w:r>
      <w:r w:rsidR="00A41CAF" w:rsidRPr="00DF732A">
        <w:rPr>
          <w:rFonts w:cs="Georgia"/>
          <w:b/>
          <w:bCs/>
          <w:i/>
          <w:color w:val="7030A0"/>
          <w:sz w:val="28"/>
          <w:szCs w:val="28"/>
          <w:lang w:eastAsia="en-GB"/>
        </w:rPr>
        <w:t>g</w:t>
      </w:r>
      <w:r w:rsidR="00A41CAF" w:rsidRPr="00DF732A">
        <w:rPr>
          <w:rFonts w:cs="Georgia"/>
          <w:b/>
          <w:bCs/>
          <w:i/>
          <w:color w:val="7030A0"/>
          <w:spacing w:val="-8"/>
          <w:sz w:val="28"/>
          <w:szCs w:val="28"/>
          <w:lang w:eastAsia="en-GB"/>
        </w:rPr>
        <w:t xml:space="preserve"> </w:t>
      </w:r>
      <w:r w:rsidR="00A41CAF" w:rsidRPr="00DF732A">
        <w:rPr>
          <w:rFonts w:cs="Georgia"/>
          <w:b/>
          <w:bCs/>
          <w:i/>
          <w:color w:val="7030A0"/>
          <w:sz w:val="28"/>
          <w:szCs w:val="28"/>
          <w:lang w:eastAsia="en-GB"/>
        </w:rPr>
        <w:t>t</w:t>
      </w:r>
      <w:r w:rsidR="00A41CAF" w:rsidRPr="00DF732A">
        <w:rPr>
          <w:rFonts w:cs="Georgia"/>
          <w:b/>
          <w:bCs/>
          <w:i/>
          <w:color w:val="7030A0"/>
          <w:spacing w:val="-1"/>
          <w:sz w:val="28"/>
          <w:szCs w:val="28"/>
          <w:lang w:eastAsia="en-GB"/>
        </w:rPr>
        <w:t>h</w:t>
      </w:r>
      <w:r w:rsidR="00A41CAF" w:rsidRPr="00DF732A">
        <w:rPr>
          <w:rFonts w:cs="Georgia"/>
          <w:b/>
          <w:bCs/>
          <w:i/>
          <w:color w:val="7030A0"/>
          <w:sz w:val="28"/>
          <w:szCs w:val="28"/>
          <w:lang w:eastAsia="en-GB"/>
        </w:rPr>
        <w:t>e</w:t>
      </w:r>
      <w:r w:rsidR="00A41CAF" w:rsidRPr="00DF732A">
        <w:rPr>
          <w:rFonts w:cs="Georgia"/>
          <w:b/>
          <w:bCs/>
          <w:i/>
          <w:color w:val="7030A0"/>
          <w:spacing w:val="-2"/>
          <w:sz w:val="28"/>
          <w:szCs w:val="28"/>
          <w:lang w:eastAsia="en-GB"/>
        </w:rPr>
        <w:t xml:space="preserve"> </w:t>
      </w:r>
      <w:r w:rsidR="00A41CAF" w:rsidRPr="00DF732A">
        <w:rPr>
          <w:rFonts w:cs="Georgia"/>
          <w:b/>
          <w:bCs/>
          <w:i/>
          <w:color w:val="7030A0"/>
          <w:spacing w:val="-1"/>
          <w:sz w:val="28"/>
          <w:szCs w:val="28"/>
          <w:lang w:eastAsia="en-GB"/>
        </w:rPr>
        <w:t>n</w:t>
      </w:r>
      <w:r w:rsidR="00A41CAF" w:rsidRPr="00DF732A">
        <w:rPr>
          <w:rFonts w:cs="Georgia"/>
          <w:b/>
          <w:bCs/>
          <w:i/>
          <w:color w:val="7030A0"/>
          <w:spacing w:val="2"/>
          <w:sz w:val="28"/>
          <w:szCs w:val="28"/>
          <w:lang w:eastAsia="en-GB"/>
        </w:rPr>
        <w:t>u</w:t>
      </w:r>
      <w:r w:rsidR="00A41CAF" w:rsidRPr="00DF732A">
        <w:rPr>
          <w:rFonts w:cs="Georgia"/>
          <w:b/>
          <w:bCs/>
          <w:i/>
          <w:color w:val="7030A0"/>
          <w:spacing w:val="-1"/>
          <w:sz w:val="28"/>
          <w:szCs w:val="28"/>
          <w:lang w:eastAsia="en-GB"/>
        </w:rPr>
        <w:t>m</w:t>
      </w:r>
      <w:r w:rsidR="00A41CAF" w:rsidRPr="00DF732A">
        <w:rPr>
          <w:rFonts w:cs="Georgia"/>
          <w:b/>
          <w:bCs/>
          <w:i/>
          <w:color w:val="7030A0"/>
          <w:spacing w:val="3"/>
          <w:sz w:val="28"/>
          <w:szCs w:val="28"/>
          <w:lang w:eastAsia="en-GB"/>
        </w:rPr>
        <w:t>b</w:t>
      </w:r>
      <w:r w:rsidR="00A41CAF" w:rsidRPr="00DF732A">
        <w:rPr>
          <w:rFonts w:cs="Georgia"/>
          <w:b/>
          <w:bCs/>
          <w:i/>
          <w:color w:val="7030A0"/>
          <w:spacing w:val="-1"/>
          <w:sz w:val="28"/>
          <w:szCs w:val="28"/>
          <w:lang w:eastAsia="en-GB"/>
        </w:rPr>
        <w:t>e</w:t>
      </w:r>
      <w:r w:rsidR="00A41CAF" w:rsidRPr="00DF732A">
        <w:rPr>
          <w:rFonts w:cs="Georgia"/>
          <w:b/>
          <w:bCs/>
          <w:i/>
          <w:color w:val="7030A0"/>
          <w:sz w:val="28"/>
          <w:szCs w:val="28"/>
          <w:lang w:eastAsia="en-GB"/>
        </w:rPr>
        <w:t>r</w:t>
      </w:r>
      <w:r w:rsidR="00A41CAF" w:rsidRPr="00DF732A">
        <w:rPr>
          <w:rFonts w:cs="Georgia"/>
          <w:b/>
          <w:bCs/>
          <w:i/>
          <w:color w:val="7030A0"/>
          <w:spacing w:val="-8"/>
          <w:sz w:val="28"/>
          <w:szCs w:val="28"/>
          <w:lang w:eastAsia="en-GB"/>
        </w:rPr>
        <w:t xml:space="preserve"> </w:t>
      </w:r>
      <w:r w:rsidR="00A41CAF" w:rsidRPr="00DF732A">
        <w:rPr>
          <w:rFonts w:cs="Georgia"/>
          <w:b/>
          <w:bCs/>
          <w:i/>
          <w:color w:val="7030A0"/>
          <w:sz w:val="28"/>
          <w:szCs w:val="28"/>
          <w:lang w:eastAsia="en-GB"/>
        </w:rPr>
        <w:t>of voti</w:t>
      </w:r>
      <w:r w:rsidR="00A41CAF" w:rsidRPr="00DF732A">
        <w:rPr>
          <w:rFonts w:cs="Georgia"/>
          <w:b/>
          <w:bCs/>
          <w:i/>
          <w:color w:val="7030A0"/>
          <w:spacing w:val="-1"/>
          <w:sz w:val="28"/>
          <w:szCs w:val="28"/>
          <w:lang w:eastAsia="en-GB"/>
        </w:rPr>
        <w:t>n</w:t>
      </w:r>
      <w:r w:rsidR="00A41CAF" w:rsidRPr="00DF732A">
        <w:rPr>
          <w:rFonts w:cs="Georgia"/>
          <w:b/>
          <w:bCs/>
          <w:i/>
          <w:color w:val="7030A0"/>
          <w:sz w:val="28"/>
          <w:szCs w:val="28"/>
          <w:lang w:eastAsia="en-GB"/>
        </w:rPr>
        <w:t>g</w:t>
      </w:r>
      <w:r w:rsidR="00A41CAF" w:rsidRPr="00DF732A">
        <w:rPr>
          <w:rFonts w:cs="Georgia"/>
          <w:b/>
          <w:bCs/>
          <w:i/>
          <w:color w:val="7030A0"/>
          <w:spacing w:val="-4"/>
          <w:sz w:val="28"/>
          <w:szCs w:val="28"/>
          <w:lang w:eastAsia="en-GB"/>
        </w:rPr>
        <w:t xml:space="preserve"> </w:t>
      </w:r>
      <w:r w:rsidR="00A41CAF" w:rsidRPr="00DF732A">
        <w:rPr>
          <w:rFonts w:cs="Georgia"/>
          <w:b/>
          <w:bCs/>
          <w:i/>
          <w:color w:val="7030A0"/>
          <w:sz w:val="28"/>
          <w:szCs w:val="28"/>
          <w:lang w:eastAsia="en-GB"/>
        </w:rPr>
        <w:t>r</w:t>
      </w:r>
      <w:r w:rsidR="00A41CAF" w:rsidRPr="00DF732A">
        <w:rPr>
          <w:rFonts w:cs="Georgia"/>
          <w:b/>
          <w:bCs/>
          <w:i/>
          <w:color w:val="7030A0"/>
          <w:spacing w:val="-2"/>
          <w:sz w:val="28"/>
          <w:szCs w:val="28"/>
          <w:lang w:eastAsia="en-GB"/>
        </w:rPr>
        <w:t>i</w:t>
      </w:r>
      <w:r w:rsidR="00A41CAF" w:rsidRPr="00DF732A">
        <w:rPr>
          <w:rFonts w:cs="Georgia"/>
          <w:b/>
          <w:bCs/>
          <w:i/>
          <w:color w:val="7030A0"/>
          <w:spacing w:val="2"/>
          <w:sz w:val="28"/>
          <w:szCs w:val="28"/>
          <w:lang w:eastAsia="en-GB"/>
        </w:rPr>
        <w:t>g</w:t>
      </w:r>
      <w:r w:rsidR="00A41CAF" w:rsidRPr="00DF732A">
        <w:rPr>
          <w:rFonts w:cs="Georgia"/>
          <w:b/>
          <w:bCs/>
          <w:i/>
          <w:color w:val="7030A0"/>
          <w:spacing w:val="-1"/>
          <w:sz w:val="28"/>
          <w:szCs w:val="28"/>
          <w:lang w:eastAsia="en-GB"/>
        </w:rPr>
        <w:t>h</w:t>
      </w:r>
      <w:r w:rsidR="00A41CAF" w:rsidRPr="00DF732A">
        <w:rPr>
          <w:rFonts w:cs="Georgia"/>
          <w:b/>
          <w:bCs/>
          <w:i/>
          <w:color w:val="7030A0"/>
          <w:sz w:val="28"/>
          <w:szCs w:val="28"/>
          <w:lang w:eastAsia="en-GB"/>
        </w:rPr>
        <w:t>ts</w:t>
      </w:r>
      <w:r w:rsidR="00A41CAF" w:rsidRPr="00DF732A">
        <w:rPr>
          <w:rFonts w:cs="Georgia"/>
          <w:b/>
          <w:bCs/>
          <w:i/>
          <w:color w:val="7030A0"/>
          <w:spacing w:val="-5"/>
          <w:sz w:val="28"/>
          <w:szCs w:val="28"/>
          <w:lang w:eastAsia="en-GB"/>
        </w:rPr>
        <w:t xml:space="preserve"> </w:t>
      </w:r>
      <w:r w:rsidR="00A41CAF" w:rsidRPr="00DF732A">
        <w:rPr>
          <w:rFonts w:cs="Georgia"/>
          <w:b/>
          <w:bCs/>
          <w:i/>
          <w:color w:val="7030A0"/>
          <w:spacing w:val="2"/>
          <w:sz w:val="28"/>
          <w:szCs w:val="28"/>
          <w:lang w:eastAsia="en-GB"/>
        </w:rPr>
        <w:t>r</w:t>
      </w:r>
      <w:r w:rsidR="00A41CAF" w:rsidRPr="00DF732A">
        <w:rPr>
          <w:rFonts w:cs="Georgia"/>
          <w:b/>
          <w:bCs/>
          <w:i/>
          <w:color w:val="7030A0"/>
          <w:spacing w:val="-1"/>
          <w:sz w:val="28"/>
          <w:szCs w:val="28"/>
          <w:lang w:eastAsia="en-GB"/>
        </w:rPr>
        <w:t>e</w:t>
      </w:r>
      <w:r w:rsidR="00A41CAF" w:rsidRPr="00DF732A">
        <w:rPr>
          <w:rFonts w:cs="Georgia"/>
          <w:b/>
          <w:bCs/>
          <w:i/>
          <w:color w:val="7030A0"/>
          <w:spacing w:val="1"/>
          <w:sz w:val="28"/>
          <w:szCs w:val="28"/>
          <w:lang w:eastAsia="en-GB"/>
        </w:rPr>
        <w:t>fe</w:t>
      </w:r>
      <w:r w:rsidR="00A41CAF" w:rsidRPr="00DF732A">
        <w:rPr>
          <w:rFonts w:cs="Georgia"/>
          <w:b/>
          <w:bCs/>
          <w:i/>
          <w:color w:val="7030A0"/>
          <w:sz w:val="28"/>
          <w:szCs w:val="28"/>
          <w:lang w:eastAsia="en-GB"/>
        </w:rPr>
        <w:t>r</w:t>
      </w:r>
      <w:r w:rsidR="00A41CAF" w:rsidRPr="00DF732A">
        <w:rPr>
          <w:rFonts w:cs="Georgia"/>
          <w:b/>
          <w:bCs/>
          <w:i/>
          <w:color w:val="7030A0"/>
          <w:spacing w:val="1"/>
          <w:sz w:val="28"/>
          <w:szCs w:val="28"/>
          <w:lang w:eastAsia="en-GB"/>
        </w:rPr>
        <w:t>r</w:t>
      </w:r>
      <w:r w:rsidR="00A41CAF" w:rsidRPr="00DF732A">
        <w:rPr>
          <w:rFonts w:cs="Georgia"/>
          <w:b/>
          <w:bCs/>
          <w:i/>
          <w:color w:val="7030A0"/>
          <w:spacing w:val="-1"/>
          <w:sz w:val="28"/>
          <w:szCs w:val="28"/>
          <w:lang w:eastAsia="en-GB"/>
        </w:rPr>
        <w:t>e</w:t>
      </w:r>
      <w:r w:rsidR="00A41CAF" w:rsidRPr="00DF732A">
        <w:rPr>
          <w:rFonts w:cs="Georgia"/>
          <w:b/>
          <w:bCs/>
          <w:i/>
          <w:color w:val="7030A0"/>
          <w:sz w:val="28"/>
          <w:szCs w:val="28"/>
          <w:lang w:eastAsia="en-GB"/>
        </w:rPr>
        <w:t>d</w:t>
      </w:r>
      <w:r w:rsidR="00A41CAF" w:rsidRPr="00DF732A">
        <w:rPr>
          <w:rFonts w:cs="Georgia"/>
          <w:b/>
          <w:bCs/>
          <w:i/>
          <w:color w:val="7030A0"/>
          <w:spacing w:val="-9"/>
          <w:sz w:val="28"/>
          <w:szCs w:val="28"/>
          <w:lang w:eastAsia="en-GB"/>
        </w:rPr>
        <w:t xml:space="preserve"> </w:t>
      </w:r>
      <w:r w:rsidR="00A41CAF" w:rsidRPr="00DF732A">
        <w:rPr>
          <w:rFonts w:cs="Georgia"/>
          <w:b/>
          <w:bCs/>
          <w:i/>
          <w:color w:val="7030A0"/>
          <w:spacing w:val="2"/>
          <w:sz w:val="28"/>
          <w:szCs w:val="28"/>
          <w:lang w:eastAsia="en-GB"/>
        </w:rPr>
        <w:t>t</w:t>
      </w:r>
      <w:r w:rsidR="00A41CAF" w:rsidRPr="00DF732A">
        <w:rPr>
          <w:rFonts w:cs="Georgia"/>
          <w:b/>
          <w:bCs/>
          <w:i/>
          <w:color w:val="7030A0"/>
          <w:sz w:val="28"/>
          <w:szCs w:val="28"/>
          <w:lang w:eastAsia="en-GB"/>
        </w:rPr>
        <w:t>o</w:t>
      </w:r>
      <w:r w:rsidR="00A41CAF" w:rsidRPr="00DF732A">
        <w:rPr>
          <w:rFonts w:cs="Georgia"/>
          <w:b/>
          <w:bCs/>
          <w:i/>
          <w:color w:val="7030A0"/>
          <w:spacing w:val="-2"/>
          <w:sz w:val="28"/>
          <w:szCs w:val="28"/>
          <w:lang w:eastAsia="en-GB"/>
        </w:rPr>
        <w:t xml:space="preserve"> </w:t>
      </w:r>
      <w:r w:rsidR="00A41CAF" w:rsidRPr="00DF732A">
        <w:rPr>
          <w:rFonts w:cs="Georgia"/>
          <w:b/>
          <w:bCs/>
          <w:i/>
          <w:color w:val="7030A0"/>
          <w:spacing w:val="-1"/>
          <w:sz w:val="28"/>
          <w:szCs w:val="28"/>
          <w:lang w:eastAsia="en-GB"/>
        </w:rPr>
        <w:t>i</w:t>
      </w:r>
      <w:r w:rsidR="00A41CAF" w:rsidRPr="00DF732A">
        <w:rPr>
          <w:rFonts w:cs="Georgia"/>
          <w:b/>
          <w:bCs/>
          <w:i/>
          <w:color w:val="7030A0"/>
          <w:sz w:val="28"/>
          <w:szCs w:val="28"/>
          <w:lang w:eastAsia="en-GB"/>
        </w:rPr>
        <w:t>n</w:t>
      </w:r>
      <w:r w:rsidR="00A41CAF" w:rsidRPr="00DF732A">
        <w:rPr>
          <w:rFonts w:cs="Georgia"/>
          <w:b/>
          <w:bCs/>
          <w:i/>
          <w:color w:val="7030A0"/>
          <w:spacing w:val="-3"/>
          <w:sz w:val="28"/>
          <w:szCs w:val="28"/>
          <w:lang w:eastAsia="en-GB"/>
        </w:rPr>
        <w:t xml:space="preserve"> </w:t>
      </w:r>
      <w:r w:rsidR="00A41CAF" w:rsidRPr="00DF732A">
        <w:rPr>
          <w:rFonts w:cs="Georgia"/>
          <w:b/>
          <w:bCs/>
          <w:i/>
          <w:color w:val="7030A0"/>
          <w:spacing w:val="2"/>
          <w:sz w:val="28"/>
          <w:szCs w:val="28"/>
          <w:lang w:eastAsia="en-GB"/>
        </w:rPr>
        <w:t>A</w:t>
      </w:r>
      <w:r w:rsidR="00A41CAF" w:rsidRPr="00DF732A">
        <w:rPr>
          <w:rFonts w:cs="Georgia"/>
          <w:b/>
          <w:bCs/>
          <w:i/>
          <w:color w:val="7030A0"/>
          <w:sz w:val="28"/>
          <w:szCs w:val="28"/>
          <w:lang w:eastAsia="en-GB"/>
        </w:rPr>
        <w:t>rt</w:t>
      </w:r>
      <w:r w:rsidR="00A41CAF" w:rsidRPr="00DF732A">
        <w:rPr>
          <w:rFonts w:cs="Georgia"/>
          <w:b/>
          <w:bCs/>
          <w:i/>
          <w:color w:val="7030A0"/>
          <w:spacing w:val="1"/>
          <w:sz w:val="28"/>
          <w:szCs w:val="28"/>
          <w:lang w:eastAsia="en-GB"/>
        </w:rPr>
        <w:t>i</w:t>
      </w:r>
      <w:r w:rsidR="00A41CAF" w:rsidRPr="00DF732A">
        <w:rPr>
          <w:rFonts w:cs="Georgia"/>
          <w:b/>
          <w:bCs/>
          <w:i/>
          <w:color w:val="7030A0"/>
          <w:sz w:val="28"/>
          <w:szCs w:val="28"/>
          <w:lang w:eastAsia="en-GB"/>
        </w:rPr>
        <w:t>c</w:t>
      </w:r>
      <w:r w:rsidR="00A41CAF" w:rsidRPr="00DF732A">
        <w:rPr>
          <w:rFonts w:cs="Georgia"/>
          <w:b/>
          <w:bCs/>
          <w:i/>
          <w:color w:val="7030A0"/>
          <w:spacing w:val="1"/>
          <w:sz w:val="28"/>
          <w:szCs w:val="28"/>
          <w:lang w:eastAsia="en-GB"/>
        </w:rPr>
        <w:t>l</w:t>
      </w:r>
      <w:r w:rsidR="00A41CAF" w:rsidRPr="00DF732A">
        <w:rPr>
          <w:rFonts w:cs="Georgia"/>
          <w:b/>
          <w:bCs/>
          <w:i/>
          <w:color w:val="7030A0"/>
          <w:sz w:val="28"/>
          <w:szCs w:val="28"/>
          <w:lang w:eastAsia="en-GB"/>
        </w:rPr>
        <w:t>e</w:t>
      </w:r>
      <w:r w:rsidR="00A41CAF" w:rsidRPr="00DF732A">
        <w:rPr>
          <w:rFonts w:cs="Georgia"/>
          <w:b/>
          <w:bCs/>
          <w:i/>
          <w:color w:val="7030A0"/>
          <w:spacing w:val="-8"/>
          <w:sz w:val="28"/>
          <w:szCs w:val="28"/>
          <w:lang w:eastAsia="en-GB"/>
        </w:rPr>
        <w:t xml:space="preserve"> </w:t>
      </w:r>
      <w:r w:rsidR="00A41CAF" w:rsidRPr="00DF732A">
        <w:rPr>
          <w:rFonts w:cs="Georgia"/>
          <w:b/>
          <w:bCs/>
          <w:i/>
          <w:color w:val="7030A0"/>
          <w:sz w:val="28"/>
          <w:szCs w:val="28"/>
          <w:lang w:eastAsia="en-GB"/>
        </w:rPr>
        <w:t>1</w:t>
      </w:r>
      <w:r w:rsidR="00A41CAF" w:rsidRPr="00DF732A">
        <w:rPr>
          <w:rFonts w:cs="Georgia"/>
          <w:b/>
          <w:bCs/>
          <w:i/>
          <w:color w:val="7030A0"/>
          <w:spacing w:val="1"/>
          <w:sz w:val="28"/>
          <w:szCs w:val="28"/>
          <w:lang w:eastAsia="en-GB"/>
        </w:rPr>
        <w:t>3</w:t>
      </w:r>
      <w:r w:rsidR="00A41CAF" w:rsidRPr="00DF732A">
        <w:rPr>
          <w:rFonts w:cs="Georgia"/>
          <w:b/>
          <w:bCs/>
          <w:i/>
          <w:color w:val="7030A0"/>
          <w:sz w:val="28"/>
          <w:szCs w:val="28"/>
          <w:lang w:eastAsia="en-GB"/>
        </w:rPr>
        <w:t>(</w:t>
      </w:r>
      <w:r w:rsidR="00A41CAF" w:rsidRPr="00DF732A">
        <w:rPr>
          <w:rFonts w:cs="Georgia"/>
          <w:b/>
          <w:bCs/>
          <w:i/>
          <w:color w:val="7030A0"/>
          <w:spacing w:val="3"/>
          <w:sz w:val="28"/>
          <w:szCs w:val="28"/>
          <w:lang w:eastAsia="en-GB"/>
        </w:rPr>
        <w:t>1</w:t>
      </w:r>
      <w:r w:rsidR="00A41CAF" w:rsidRPr="00DF732A">
        <w:rPr>
          <w:rFonts w:cs="Georgia"/>
          <w:b/>
          <w:bCs/>
          <w:i/>
          <w:color w:val="7030A0"/>
          <w:spacing w:val="-1"/>
          <w:sz w:val="28"/>
          <w:szCs w:val="28"/>
          <w:lang w:eastAsia="en-GB"/>
        </w:rPr>
        <w:t>a</w:t>
      </w:r>
      <w:proofErr w:type="gramStart"/>
      <w:r w:rsidR="00A41CAF" w:rsidRPr="00DF732A">
        <w:rPr>
          <w:rFonts w:cs="Georgia"/>
          <w:b/>
          <w:bCs/>
          <w:i/>
          <w:color w:val="7030A0"/>
          <w:spacing w:val="3"/>
          <w:sz w:val="28"/>
          <w:szCs w:val="28"/>
          <w:lang w:eastAsia="en-GB"/>
        </w:rPr>
        <w:t>)</w:t>
      </w:r>
      <w:r w:rsidR="00A41CAF" w:rsidRPr="00DF732A">
        <w:rPr>
          <w:rFonts w:cs="Georgia"/>
          <w:b/>
          <w:bCs/>
          <w:i/>
          <w:color w:val="7030A0"/>
          <w:spacing w:val="2"/>
          <w:sz w:val="28"/>
          <w:szCs w:val="28"/>
          <w:lang w:eastAsia="en-GB"/>
        </w:rPr>
        <w:t>(</w:t>
      </w:r>
      <w:proofErr w:type="gramEnd"/>
      <w:r w:rsidR="00A41CAF" w:rsidRPr="00DF732A">
        <w:rPr>
          <w:rFonts w:cs="Georgia"/>
          <w:b/>
          <w:bCs/>
          <w:i/>
          <w:color w:val="7030A0"/>
          <w:spacing w:val="-1"/>
          <w:sz w:val="28"/>
          <w:szCs w:val="28"/>
          <w:lang w:eastAsia="en-GB"/>
        </w:rPr>
        <w:t>a</w:t>
      </w:r>
      <w:r w:rsidR="00A41CAF" w:rsidRPr="00DF732A">
        <w:rPr>
          <w:rFonts w:cs="Georgia"/>
          <w:b/>
          <w:bCs/>
          <w:i/>
          <w:color w:val="7030A0"/>
          <w:sz w:val="28"/>
          <w:szCs w:val="28"/>
          <w:lang w:eastAsia="en-GB"/>
        </w:rPr>
        <w:t>)</w:t>
      </w:r>
      <w:r w:rsidR="00A41CAF" w:rsidRPr="00DF732A">
        <w:rPr>
          <w:rFonts w:cs="Georgia"/>
          <w:b/>
          <w:bCs/>
          <w:i/>
          <w:color w:val="7030A0"/>
          <w:spacing w:val="-7"/>
          <w:sz w:val="28"/>
          <w:szCs w:val="28"/>
          <w:lang w:eastAsia="en-GB"/>
        </w:rPr>
        <w:t xml:space="preserve"> </w:t>
      </w:r>
      <w:r w:rsidR="00A41CAF" w:rsidRPr="00DF732A">
        <w:rPr>
          <w:rFonts w:cs="Georgia"/>
          <w:b/>
          <w:bCs/>
          <w:i/>
          <w:color w:val="7030A0"/>
          <w:spacing w:val="-1"/>
          <w:sz w:val="28"/>
          <w:szCs w:val="28"/>
          <w:lang w:eastAsia="en-GB"/>
        </w:rPr>
        <w:t>i</w:t>
      </w:r>
      <w:r w:rsidR="00A41CAF" w:rsidRPr="00DF732A">
        <w:rPr>
          <w:rFonts w:cs="Georgia"/>
          <w:b/>
          <w:bCs/>
          <w:i/>
          <w:color w:val="7030A0"/>
          <w:sz w:val="28"/>
          <w:szCs w:val="28"/>
          <w:lang w:eastAsia="en-GB"/>
        </w:rPr>
        <w:t>n</w:t>
      </w:r>
      <w:r w:rsidR="00A41CAF" w:rsidRPr="00DF732A">
        <w:rPr>
          <w:rFonts w:cs="Georgia"/>
          <w:b/>
          <w:bCs/>
          <w:i/>
          <w:color w:val="7030A0"/>
          <w:spacing w:val="-1"/>
          <w:sz w:val="28"/>
          <w:szCs w:val="28"/>
          <w:lang w:eastAsia="en-GB"/>
        </w:rPr>
        <w:t xml:space="preserve"> </w:t>
      </w:r>
      <w:r w:rsidR="00A41CAF" w:rsidRPr="00DF732A">
        <w:rPr>
          <w:rFonts w:cs="Georgia"/>
          <w:b/>
          <w:bCs/>
          <w:i/>
          <w:color w:val="7030A0"/>
          <w:sz w:val="28"/>
          <w:szCs w:val="28"/>
          <w:lang w:eastAsia="en-GB"/>
        </w:rPr>
        <w:t>t</w:t>
      </w:r>
      <w:r w:rsidR="00A41CAF" w:rsidRPr="00DF732A">
        <w:rPr>
          <w:rFonts w:cs="Georgia"/>
          <w:b/>
          <w:bCs/>
          <w:i/>
          <w:color w:val="7030A0"/>
          <w:spacing w:val="-1"/>
          <w:sz w:val="28"/>
          <w:szCs w:val="28"/>
          <w:lang w:eastAsia="en-GB"/>
        </w:rPr>
        <w:t>h</w:t>
      </w:r>
      <w:r w:rsidR="00A41CAF" w:rsidRPr="00DF732A">
        <w:rPr>
          <w:rFonts w:cs="Georgia"/>
          <w:b/>
          <w:bCs/>
          <w:i/>
          <w:color w:val="7030A0"/>
          <w:sz w:val="28"/>
          <w:szCs w:val="28"/>
          <w:lang w:eastAsia="en-GB"/>
        </w:rPr>
        <w:t>e</w:t>
      </w:r>
      <w:r w:rsidR="00A41CAF" w:rsidRPr="00DF732A">
        <w:rPr>
          <w:rFonts w:cs="Georgia"/>
          <w:b/>
          <w:bCs/>
          <w:i/>
          <w:color w:val="7030A0"/>
          <w:spacing w:val="-2"/>
          <w:sz w:val="28"/>
          <w:szCs w:val="28"/>
          <w:lang w:eastAsia="en-GB"/>
        </w:rPr>
        <w:t xml:space="preserve"> </w:t>
      </w:r>
      <w:r w:rsidR="00A41CAF" w:rsidRPr="00DF732A">
        <w:rPr>
          <w:rFonts w:cs="Georgia"/>
          <w:b/>
          <w:bCs/>
          <w:i/>
          <w:color w:val="7030A0"/>
          <w:spacing w:val="2"/>
          <w:sz w:val="28"/>
          <w:szCs w:val="28"/>
          <w:lang w:eastAsia="en-GB"/>
        </w:rPr>
        <w:t>c</w:t>
      </w:r>
      <w:r w:rsidR="00A41CAF" w:rsidRPr="00DF732A">
        <w:rPr>
          <w:rFonts w:cs="Georgia"/>
          <w:b/>
          <w:bCs/>
          <w:i/>
          <w:color w:val="7030A0"/>
          <w:spacing w:val="-1"/>
          <w:sz w:val="28"/>
          <w:szCs w:val="28"/>
          <w:lang w:eastAsia="en-GB"/>
        </w:rPr>
        <w:t>a</w:t>
      </w:r>
      <w:r w:rsidR="00A41CAF" w:rsidRPr="00DF732A">
        <w:rPr>
          <w:rFonts w:cs="Georgia"/>
          <w:b/>
          <w:bCs/>
          <w:i/>
          <w:color w:val="7030A0"/>
          <w:spacing w:val="1"/>
          <w:sz w:val="28"/>
          <w:szCs w:val="28"/>
          <w:lang w:eastAsia="en-GB"/>
        </w:rPr>
        <w:t>s</w:t>
      </w:r>
      <w:r w:rsidR="00A41CAF" w:rsidRPr="00DF732A">
        <w:rPr>
          <w:rFonts w:cs="Georgia"/>
          <w:b/>
          <w:bCs/>
          <w:i/>
          <w:color w:val="7030A0"/>
          <w:sz w:val="28"/>
          <w:szCs w:val="28"/>
          <w:lang w:eastAsia="en-GB"/>
        </w:rPr>
        <w:t>e</w:t>
      </w:r>
      <w:r w:rsidR="00A41CAF" w:rsidRPr="00DF732A">
        <w:rPr>
          <w:rFonts w:cs="Georgia"/>
          <w:b/>
          <w:bCs/>
          <w:i/>
          <w:color w:val="7030A0"/>
          <w:spacing w:val="-5"/>
          <w:sz w:val="28"/>
          <w:szCs w:val="28"/>
          <w:lang w:eastAsia="en-GB"/>
        </w:rPr>
        <w:t xml:space="preserve"> </w:t>
      </w:r>
      <w:r w:rsidR="00A41CAF" w:rsidRPr="00DF732A">
        <w:rPr>
          <w:rFonts w:cs="Georgia"/>
          <w:b/>
          <w:bCs/>
          <w:i/>
          <w:color w:val="7030A0"/>
          <w:sz w:val="28"/>
          <w:szCs w:val="28"/>
          <w:lang w:eastAsia="en-GB"/>
        </w:rPr>
        <w:t>of</w:t>
      </w:r>
      <w:r w:rsidR="00A41CAF" w:rsidRPr="00DF732A">
        <w:rPr>
          <w:rFonts w:cs="Georgia"/>
          <w:b/>
          <w:bCs/>
          <w:i/>
          <w:color w:val="7030A0"/>
          <w:spacing w:val="-1"/>
          <w:sz w:val="28"/>
          <w:szCs w:val="28"/>
          <w:lang w:eastAsia="en-GB"/>
        </w:rPr>
        <w:t xml:space="preserve"> </w:t>
      </w:r>
      <w:r w:rsidR="00A41CAF" w:rsidRPr="00DF732A">
        <w:rPr>
          <w:rFonts w:cs="Georgia"/>
          <w:b/>
          <w:bCs/>
          <w:i/>
          <w:color w:val="7030A0"/>
          <w:spacing w:val="1"/>
          <w:sz w:val="28"/>
          <w:szCs w:val="28"/>
          <w:lang w:eastAsia="en-GB"/>
        </w:rPr>
        <w:t>fi</w:t>
      </w:r>
      <w:r w:rsidR="00A41CAF" w:rsidRPr="00DF732A">
        <w:rPr>
          <w:rFonts w:cs="Georgia"/>
          <w:b/>
          <w:bCs/>
          <w:i/>
          <w:color w:val="7030A0"/>
          <w:spacing w:val="-1"/>
          <w:sz w:val="28"/>
          <w:szCs w:val="28"/>
          <w:lang w:eastAsia="en-GB"/>
        </w:rPr>
        <w:t>n</w:t>
      </w:r>
      <w:r w:rsidR="00A41CAF" w:rsidRPr="00DF732A">
        <w:rPr>
          <w:rFonts w:cs="Georgia"/>
          <w:b/>
          <w:bCs/>
          <w:i/>
          <w:color w:val="7030A0"/>
          <w:spacing w:val="1"/>
          <w:sz w:val="28"/>
          <w:szCs w:val="28"/>
          <w:lang w:eastAsia="en-GB"/>
        </w:rPr>
        <w:t>a</w:t>
      </w:r>
      <w:r w:rsidR="00A41CAF" w:rsidRPr="00DF732A">
        <w:rPr>
          <w:rFonts w:cs="Georgia"/>
          <w:b/>
          <w:bCs/>
          <w:i/>
          <w:color w:val="7030A0"/>
          <w:spacing w:val="-1"/>
          <w:sz w:val="28"/>
          <w:szCs w:val="28"/>
          <w:lang w:eastAsia="en-GB"/>
        </w:rPr>
        <w:t>n</w:t>
      </w:r>
      <w:r w:rsidR="00A41CAF" w:rsidRPr="00DF732A">
        <w:rPr>
          <w:rFonts w:cs="Georgia"/>
          <w:b/>
          <w:bCs/>
          <w:i/>
          <w:color w:val="7030A0"/>
          <w:spacing w:val="2"/>
          <w:sz w:val="28"/>
          <w:szCs w:val="28"/>
          <w:lang w:eastAsia="en-GB"/>
        </w:rPr>
        <w:t>c</w:t>
      </w:r>
      <w:r w:rsidR="00A41CAF" w:rsidRPr="00DF732A">
        <w:rPr>
          <w:rFonts w:cs="Georgia"/>
          <w:b/>
          <w:bCs/>
          <w:i/>
          <w:color w:val="7030A0"/>
          <w:spacing w:val="-1"/>
          <w:sz w:val="28"/>
          <w:szCs w:val="28"/>
          <w:lang w:eastAsia="en-GB"/>
        </w:rPr>
        <w:t>ia</w:t>
      </w:r>
      <w:r w:rsidR="00A41CAF" w:rsidRPr="00DF732A">
        <w:rPr>
          <w:rFonts w:cs="Georgia"/>
          <w:b/>
          <w:bCs/>
          <w:i/>
          <w:color w:val="7030A0"/>
          <w:sz w:val="28"/>
          <w:szCs w:val="28"/>
          <w:lang w:eastAsia="en-GB"/>
        </w:rPr>
        <w:t>l</w:t>
      </w:r>
      <w:r w:rsidR="00A41CAF" w:rsidRPr="00DF732A">
        <w:rPr>
          <w:rFonts w:cs="Georgia"/>
          <w:b/>
          <w:bCs/>
          <w:i/>
          <w:color w:val="7030A0"/>
          <w:spacing w:val="-6"/>
          <w:sz w:val="28"/>
          <w:szCs w:val="28"/>
          <w:lang w:eastAsia="en-GB"/>
        </w:rPr>
        <w:t xml:space="preserve"> </w:t>
      </w:r>
      <w:r w:rsidR="00A41CAF" w:rsidRPr="00DF732A">
        <w:rPr>
          <w:rFonts w:cs="Georgia"/>
          <w:b/>
          <w:bCs/>
          <w:i/>
          <w:color w:val="7030A0"/>
          <w:spacing w:val="-1"/>
          <w:sz w:val="28"/>
          <w:szCs w:val="28"/>
          <w:lang w:eastAsia="en-GB"/>
        </w:rPr>
        <w:t>in</w:t>
      </w:r>
      <w:r w:rsidR="00A41CAF" w:rsidRPr="00DF732A">
        <w:rPr>
          <w:rFonts w:cs="Georgia"/>
          <w:b/>
          <w:bCs/>
          <w:i/>
          <w:color w:val="7030A0"/>
          <w:spacing w:val="3"/>
          <w:sz w:val="28"/>
          <w:szCs w:val="28"/>
          <w:lang w:eastAsia="en-GB"/>
        </w:rPr>
        <w:t>s</w:t>
      </w:r>
      <w:r w:rsidR="00A41CAF" w:rsidRPr="00DF732A">
        <w:rPr>
          <w:rFonts w:cs="Georgia"/>
          <w:b/>
          <w:bCs/>
          <w:i/>
          <w:color w:val="7030A0"/>
          <w:sz w:val="28"/>
          <w:szCs w:val="28"/>
          <w:lang w:eastAsia="en-GB"/>
        </w:rPr>
        <w:t>tr</w:t>
      </w:r>
      <w:r w:rsidR="00A41CAF" w:rsidRPr="00DF732A">
        <w:rPr>
          <w:rFonts w:cs="Georgia"/>
          <w:b/>
          <w:bCs/>
          <w:i/>
          <w:color w:val="7030A0"/>
          <w:spacing w:val="1"/>
          <w:sz w:val="28"/>
          <w:szCs w:val="28"/>
          <w:lang w:eastAsia="en-GB"/>
        </w:rPr>
        <w:t>u</w:t>
      </w:r>
      <w:r w:rsidR="00A41CAF" w:rsidRPr="00DF732A">
        <w:rPr>
          <w:rFonts w:cs="Georgia"/>
          <w:b/>
          <w:bCs/>
          <w:i/>
          <w:color w:val="7030A0"/>
          <w:spacing w:val="-1"/>
          <w:sz w:val="28"/>
          <w:szCs w:val="28"/>
          <w:lang w:eastAsia="en-GB"/>
        </w:rPr>
        <w:t>m</w:t>
      </w:r>
      <w:r w:rsidR="00A41CAF" w:rsidRPr="00DF732A">
        <w:rPr>
          <w:rFonts w:cs="Georgia"/>
          <w:b/>
          <w:bCs/>
          <w:i/>
          <w:color w:val="7030A0"/>
          <w:spacing w:val="1"/>
          <w:sz w:val="28"/>
          <w:szCs w:val="28"/>
          <w:lang w:eastAsia="en-GB"/>
        </w:rPr>
        <w:t>e</w:t>
      </w:r>
      <w:r w:rsidR="00A41CAF" w:rsidRPr="00DF732A">
        <w:rPr>
          <w:rFonts w:cs="Georgia"/>
          <w:b/>
          <w:bCs/>
          <w:i/>
          <w:color w:val="7030A0"/>
          <w:spacing w:val="-1"/>
          <w:sz w:val="28"/>
          <w:szCs w:val="28"/>
          <w:lang w:eastAsia="en-GB"/>
        </w:rPr>
        <w:t>n</w:t>
      </w:r>
      <w:r w:rsidR="00A41CAF" w:rsidRPr="00DF732A">
        <w:rPr>
          <w:rFonts w:cs="Georgia"/>
          <w:b/>
          <w:bCs/>
          <w:i/>
          <w:color w:val="7030A0"/>
          <w:sz w:val="28"/>
          <w:szCs w:val="28"/>
          <w:lang w:eastAsia="en-GB"/>
        </w:rPr>
        <w:t>ts</w:t>
      </w:r>
      <w:r w:rsidR="00A41CAF" w:rsidRPr="00DF732A">
        <w:rPr>
          <w:rFonts w:cs="Georgia"/>
          <w:b/>
          <w:bCs/>
          <w:i/>
          <w:color w:val="7030A0"/>
          <w:spacing w:val="-12"/>
          <w:sz w:val="28"/>
          <w:szCs w:val="28"/>
          <w:lang w:eastAsia="en-GB"/>
        </w:rPr>
        <w:t xml:space="preserve"> </w:t>
      </w:r>
      <w:r w:rsidR="00A41CAF" w:rsidRPr="00DF732A">
        <w:rPr>
          <w:rFonts w:cs="Georgia"/>
          <w:b/>
          <w:bCs/>
          <w:i/>
          <w:color w:val="7030A0"/>
          <w:spacing w:val="2"/>
          <w:sz w:val="28"/>
          <w:szCs w:val="28"/>
          <w:lang w:eastAsia="en-GB"/>
        </w:rPr>
        <w:t>r</w:t>
      </w:r>
      <w:r w:rsidR="00A41CAF" w:rsidRPr="00DF732A">
        <w:rPr>
          <w:rFonts w:cs="Georgia"/>
          <w:b/>
          <w:bCs/>
          <w:i/>
          <w:color w:val="7030A0"/>
          <w:spacing w:val="-1"/>
          <w:sz w:val="28"/>
          <w:szCs w:val="28"/>
          <w:lang w:eastAsia="en-GB"/>
        </w:rPr>
        <w:t>e</w:t>
      </w:r>
      <w:r w:rsidR="00A41CAF" w:rsidRPr="00DF732A">
        <w:rPr>
          <w:rFonts w:cs="Georgia"/>
          <w:b/>
          <w:bCs/>
          <w:i/>
          <w:color w:val="7030A0"/>
          <w:spacing w:val="1"/>
          <w:sz w:val="28"/>
          <w:szCs w:val="28"/>
          <w:lang w:eastAsia="en-GB"/>
        </w:rPr>
        <w:t>f</w:t>
      </w:r>
      <w:r w:rsidR="00A41CAF" w:rsidRPr="00DF732A">
        <w:rPr>
          <w:rFonts w:cs="Georgia"/>
          <w:b/>
          <w:bCs/>
          <w:i/>
          <w:color w:val="7030A0"/>
          <w:spacing w:val="3"/>
          <w:sz w:val="28"/>
          <w:szCs w:val="28"/>
          <w:lang w:eastAsia="en-GB"/>
        </w:rPr>
        <w:t>e</w:t>
      </w:r>
      <w:r w:rsidR="00A41CAF" w:rsidRPr="00DF732A">
        <w:rPr>
          <w:rFonts w:cs="Georgia"/>
          <w:b/>
          <w:bCs/>
          <w:i/>
          <w:color w:val="7030A0"/>
          <w:spacing w:val="2"/>
          <w:sz w:val="28"/>
          <w:szCs w:val="28"/>
          <w:lang w:eastAsia="en-GB"/>
        </w:rPr>
        <w:t>r</w:t>
      </w:r>
      <w:r w:rsidR="00A41CAF" w:rsidRPr="00DF732A">
        <w:rPr>
          <w:rFonts w:cs="Georgia"/>
          <w:b/>
          <w:bCs/>
          <w:i/>
          <w:color w:val="7030A0"/>
          <w:spacing w:val="-1"/>
          <w:sz w:val="28"/>
          <w:szCs w:val="28"/>
          <w:lang w:eastAsia="en-GB"/>
        </w:rPr>
        <w:t>en</w:t>
      </w:r>
      <w:r w:rsidR="00A41CAF" w:rsidRPr="00DF732A">
        <w:rPr>
          <w:rFonts w:cs="Georgia"/>
          <w:b/>
          <w:bCs/>
          <w:i/>
          <w:color w:val="7030A0"/>
          <w:spacing w:val="2"/>
          <w:sz w:val="28"/>
          <w:szCs w:val="28"/>
          <w:lang w:eastAsia="en-GB"/>
        </w:rPr>
        <w:t>c</w:t>
      </w:r>
      <w:r w:rsidR="00A41CAF" w:rsidRPr="00DF732A">
        <w:rPr>
          <w:rFonts w:cs="Georgia"/>
          <w:b/>
          <w:bCs/>
          <w:i/>
          <w:color w:val="7030A0"/>
          <w:spacing w:val="-1"/>
          <w:sz w:val="28"/>
          <w:szCs w:val="28"/>
          <w:lang w:eastAsia="en-GB"/>
        </w:rPr>
        <w:t>e</w:t>
      </w:r>
      <w:r w:rsidR="00A41CAF" w:rsidRPr="00DF732A">
        <w:rPr>
          <w:rFonts w:cs="Georgia"/>
          <w:b/>
          <w:bCs/>
          <w:i/>
          <w:color w:val="7030A0"/>
          <w:sz w:val="28"/>
          <w:szCs w:val="28"/>
          <w:lang w:eastAsia="en-GB"/>
        </w:rPr>
        <w:t>d</w:t>
      </w:r>
      <w:r w:rsidR="00A41CAF" w:rsidRPr="00DF732A">
        <w:rPr>
          <w:rFonts w:cs="Georgia"/>
          <w:b/>
          <w:bCs/>
          <w:i/>
          <w:color w:val="7030A0"/>
          <w:spacing w:val="-4"/>
          <w:sz w:val="28"/>
          <w:szCs w:val="28"/>
          <w:lang w:eastAsia="en-GB"/>
        </w:rPr>
        <w:t xml:space="preserve"> </w:t>
      </w:r>
      <w:r w:rsidR="00A41CAF" w:rsidRPr="00DF732A">
        <w:rPr>
          <w:rFonts w:cs="Georgia"/>
          <w:b/>
          <w:bCs/>
          <w:i/>
          <w:color w:val="7030A0"/>
          <w:sz w:val="28"/>
          <w:szCs w:val="28"/>
          <w:lang w:eastAsia="en-GB"/>
        </w:rPr>
        <w:t>to</w:t>
      </w:r>
      <w:r w:rsidR="00A41CAF" w:rsidRPr="00DF732A">
        <w:rPr>
          <w:rFonts w:cs="Georgia"/>
          <w:b/>
          <w:bCs/>
          <w:i/>
          <w:color w:val="7030A0"/>
          <w:spacing w:val="-2"/>
          <w:sz w:val="28"/>
          <w:szCs w:val="28"/>
          <w:lang w:eastAsia="en-GB"/>
        </w:rPr>
        <w:t xml:space="preserve"> </w:t>
      </w:r>
      <w:r w:rsidR="00A41CAF" w:rsidRPr="00DF732A">
        <w:rPr>
          <w:rFonts w:cs="Georgia"/>
          <w:b/>
          <w:bCs/>
          <w:i/>
          <w:color w:val="7030A0"/>
          <w:sz w:val="28"/>
          <w:szCs w:val="28"/>
          <w:lang w:eastAsia="en-GB"/>
        </w:rPr>
        <w:t xml:space="preserve">a </w:t>
      </w:r>
      <w:r w:rsidR="00A41CAF" w:rsidRPr="00DF732A">
        <w:rPr>
          <w:rFonts w:cs="Georgia"/>
          <w:b/>
          <w:bCs/>
          <w:i/>
          <w:color w:val="7030A0"/>
          <w:spacing w:val="1"/>
          <w:sz w:val="28"/>
          <w:szCs w:val="28"/>
          <w:lang w:eastAsia="en-GB"/>
        </w:rPr>
        <w:t>b</w:t>
      </w:r>
      <w:r w:rsidR="00A41CAF" w:rsidRPr="00DF732A">
        <w:rPr>
          <w:rFonts w:cs="Georgia"/>
          <w:b/>
          <w:bCs/>
          <w:i/>
          <w:color w:val="7030A0"/>
          <w:spacing w:val="-1"/>
          <w:sz w:val="28"/>
          <w:szCs w:val="28"/>
          <w:lang w:eastAsia="en-GB"/>
        </w:rPr>
        <w:t>a</w:t>
      </w:r>
      <w:r w:rsidR="00A41CAF" w:rsidRPr="00DF732A">
        <w:rPr>
          <w:rFonts w:cs="Georgia"/>
          <w:b/>
          <w:bCs/>
          <w:i/>
          <w:color w:val="7030A0"/>
          <w:spacing w:val="1"/>
          <w:sz w:val="28"/>
          <w:szCs w:val="28"/>
          <w:lang w:eastAsia="en-GB"/>
        </w:rPr>
        <w:t>sk</w:t>
      </w:r>
      <w:r w:rsidR="00A41CAF" w:rsidRPr="00DF732A">
        <w:rPr>
          <w:rFonts w:cs="Georgia"/>
          <w:b/>
          <w:bCs/>
          <w:i/>
          <w:color w:val="7030A0"/>
          <w:spacing w:val="-1"/>
          <w:sz w:val="28"/>
          <w:szCs w:val="28"/>
          <w:lang w:eastAsia="en-GB"/>
        </w:rPr>
        <w:t>e</w:t>
      </w:r>
      <w:r w:rsidR="00A41CAF" w:rsidRPr="00DF732A">
        <w:rPr>
          <w:rFonts w:cs="Georgia"/>
          <w:b/>
          <w:bCs/>
          <w:i/>
          <w:color w:val="7030A0"/>
          <w:sz w:val="28"/>
          <w:szCs w:val="28"/>
          <w:lang w:eastAsia="en-GB"/>
        </w:rPr>
        <w:t>t</w:t>
      </w:r>
      <w:r w:rsidR="00A41CAF" w:rsidRPr="00DF732A">
        <w:rPr>
          <w:rFonts w:cs="Georgia"/>
          <w:b/>
          <w:bCs/>
          <w:i/>
          <w:color w:val="7030A0"/>
          <w:spacing w:val="-7"/>
          <w:sz w:val="28"/>
          <w:szCs w:val="28"/>
          <w:lang w:eastAsia="en-GB"/>
        </w:rPr>
        <w:t xml:space="preserve"> </w:t>
      </w:r>
      <w:r w:rsidR="00A41CAF" w:rsidRPr="00DF732A">
        <w:rPr>
          <w:rFonts w:cs="Georgia"/>
          <w:b/>
          <w:bCs/>
          <w:i/>
          <w:color w:val="7030A0"/>
          <w:sz w:val="28"/>
          <w:szCs w:val="28"/>
          <w:lang w:eastAsia="en-GB"/>
        </w:rPr>
        <w:t>of</w:t>
      </w:r>
      <w:r w:rsidR="00A41CAF" w:rsidRPr="00DF732A">
        <w:rPr>
          <w:rFonts w:cs="Georgia"/>
          <w:b/>
          <w:bCs/>
          <w:i/>
          <w:color w:val="7030A0"/>
          <w:spacing w:val="-1"/>
          <w:sz w:val="28"/>
          <w:szCs w:val="28"/>
          <w:lang w:eastAsia="en-GB"/>
        </w:rPr>
        <w:t xml:space="preserve"> </w:t>
      </w:r>
      <w:r w:rsidR="00A41CAF" w:rsidRPr="00DF732A">
        <w:rPr>
          <w:rFonts w:cs="Georgia"/>
          <w:b/>
          <w:bCs/>
          <w:i/>
          <w:color w:val="7030A0"/>
          <w:spacing w:val="3"/>
          <w:sz w:val="28"/>
          <w:szCs w:val="28"/>
          <w:lang w:eastAsia="en-GB"/>
        </w:rPr>
        <w:t>s</w:t>
      </w:r>
      <w:r w:rsidR="00A41CAF" w:rsidRPr="00DF732A">
        <w:rPr>
          <w:rFonts w:cs="Georgia"/>
          <w:b/>
          <w:bCs/>
          <w:i/>
          <w:color w:val="7030A0"/>
          <w:spacing w:val="-1"/>
          <w:sz w:val="28"/>
          <w:szCs w:val="28"/>
          <w:lang w:eastAsia="en-GB"/>
        </w:rPr>
        <w:t>h</w:t>
      </w:r>
      <w:r w:rsidR="00A41CAF" w:rsidRPr="00DF732A">
        <w:rPr>
          <w:rFonts w:cs="Georgia"/>
          <w:b/>
          <w:bCs/>
          <w:i/>
          <w:color w:val="7030A0"/>
          <w:spacing w:val="1"/>
          <w:sz w:val="28"/>
          <w:szCs w:val="28"/>
          <w:lang w:eastAsia="en-GB"/>
        </w:rPr>
        <w:t>a</w:t>
      </w:r>
      <w:r w:rsidR="00A41CAF" w:rsidRPr="00DF732A">
        <w:rPr>
          <w:rFonts w:cs="Georgia"/>
          <w:b/>
          <w:bCs/>
          <w:i/>
          <w:color w:val="7030A0"/>
          <w:sz w:val="28"/>
          <w:szCs w:val="28"/>
          <w:lang w:eastAsia="en-GB"/>
        </w:rPr>
        <w:t>r</w:t>
      </w:r>
      <w:r w:rsidR="00A41CAF" w:rsidRPr="00DF732A">
        <w:rPr>
          <w:rFonts w:cs="Georgia"/>
          <w:b/>
          <w:bCs/>
          <w:i/>
          <w:color w:val="7030A0"/>
          <w:spacing w:val="-2"/>
          <w:sz w:val="28"/>
          <w:szCs w:val="28"/>
          <w:lang w:eastAsia="en-GB"/>
        </w:rPr>
        <w:t>e</w:t>
      </w:r>
      <w:r w:rsidR="00A41CAF" w:rsidRPr="00DF732A">
        <w:rPr>
          <w:rFonts w:cs="Georgia"/>
          <w:b/>
          <w:bCs/>
          <w:i/>
          <w:color w:val="7030A0"/>
          <w:sz w:val="28"/>
          <w:szCs w:val="28"/>
          <w:lang w:eastAsia="en-GB"/>
        </w:rPr>
        <w:t>s</w:t>
      </w:r>
      <w:r w:rsidR="00A41CAF" w:rsidRPr="00DF732A">
        <w:rPr>
          <w:rFonts w:cs="Georgia"/>
          <w:b/>
          <w:bCs/>
          <w:i/>
          <w:color w:val="7030A0"/>
          <w:spacing w:val="-6"/>
          <w:sz w:val="28"/>
          <w:szCs w:val="28"/>
          <w:lang w:eastAsia="en-GB"/>
        </w:rPr>
        <w:t xml:space="preserve"> </w:t>
      </w:r>
      <w:r w:rsidR="00A41CAF" w:rsidRPr="00DF732A">
        <w:rPr>
          <w:rFonts w:cs="Georgia"/>
          <w:b/>
          <w:bCs/>
          <w:i/>
          <w:color w:val="7030A0"/>
          <w:sz w:val="28"/>
          <w:szCs w:val="28"/>
          <w:lang w:eastAsia="en-GB"/>
        </w:rPr>
        <w:t xml:space="preserve">or </w:t>
      </w:r>
      <w:r w:rsidR="00A41CAF" w:rsidRPr="00DF732A">
        <w:rPr>
          <w:rFonts w:cs="Georgia"/>
          <w:b/>
          <w:bCs/>
          <w:i/>
          <w:color w:val="7030A0"/>
          <w:spacing w:val="1"/>
          <w:sz w:val="28"/>
          <w:szCs w:val="28"/>
          <w:lang w:eastAsia="en-GB"/>
        </w:rPr>
        <w:t>a</w:t>
      </w:r>
      <w:r w:rsidR="00A41CAF" w:rsidRPr="00DF732A">
        <w:rPr>
          <w:rFonts w:cs="Georgia"/>
          <w:b/>
          <w:bCs/>
          <w:i/>
          <w:color w:val="7030A0"/>
          <w:sz w:val="28"/>
          <w:szCs w:val="28"/>
          <w:lang w:eastAsia="en-GB"/>
        </w:rPr>
        <w:t>n</w:t>
      </w:r>
      <w:r w:rsidR="00A41CAF" w:rsidRPr="00DF732A">
        <w:rPr>
          <w:rFonts w:cs="Georgia"/>
          <w:b/>
          <w:bCs/>
          <w:i/>
          <w:color w:val="7030A0"/>
          <w:spacing w:val="-4"/>
          <w:sz w:val="28"/>
          <w:szCs w:val="28"/>
          <w:lang w:eastAsia="en-GB"/>
        </w:rPr>
        <w:t xml:space="preserve"> </w:t>
      </w:r>
      <w:r w:rsidR="00A41CAF" w:rsidRPr="00DF732A">
        <w:rPr>
          <w:rFonts w:cs="Georgia"/>
          <w:b/>
          <w:bCs/>
          <w:i/>
          <w:color w:val="7030A0"/>
          <w:spacing w:val="1"/>
          <w:sz w:val="28"/>
          <w:szCs w:val="28"/>
          <w:lang w:eastAsia="en-GB"/>
        </w:rPr>
        <w:t>i</w:t>
      </w:r>
      <w:r w:rsidR="00A41CAF" w:rsidRPr="00DF732A">
        <w:rPr>
          <w:rFonts w:cs="Georgia"/>
          <w:b/>
          <w:bCs/>
          <w:i/>
          <w:color w:val="7030A0"/>
          <w:spacing w:val="-1"/>
          <w:sz w:val="28"/>
          <w:szCs w:val="28"/>
          <w:lang w:eastAsia="en-GB"/>
        </w:rPr>
        <w:t>n</w:t>
      </w:r>
      <w:r w:rsidR="00A41CAF" w:rsidRPr="00DF732A">
        <w:rPr>
          <w:rFonts w:cs="Georgia"/>
          <w:b/>
          <w:bCs/>
          <w:i/>
          <w:color w:val="7030A0"/>
          <w:spacing w:val="2"/>
          <w:sz w:val="28"/>
          <w:szCs w:val="28"/>
          <w:lang w:eastAsia="en-GB"/>
        </w:rPr>
        <w:t>d</w:t>
      </w:r>
      <w:r w:rsidR="00A41CAF" w:rsidRPr="00DF732A">
        <w:rPr>
          <w:rFonts w:cs="Georgia"/>
          <w:b/>
          <w:bCs/>
          <w:i/>
          <w:color w:val="7030A0"/>
          <w:spacing w:val="-1"/>
          <w:sz w:val="28"/>
          <w:szCs w:val="28"/>
          <w:lang w:eastAsia="en-GB"/>
        </w:rPr>
        <w:t>e</w:t>
      </w:r>
      <w:r w:rsidR="00A41CAF" w:rsidRPr="00DF732A">
        <w:rPr>
          <w:rFonts w:cs="Georgia"/>
          <w:b/>
          <w:bCs/>
          <w:i/>
          <w:color w:val="7030A0"/>
          <w:sz w:val="28"/>
          <w:szCs w:val="28"/>
          <w:lang w:eastAsia="en-GB"/>
        </w:rPr>
        <w:t>x</w:t>
      </w:r>
    </w:p>
    <w:p w:rsidR="00C53DF7" w:rsidRPr="00DF732A" w:rsidRDefault="00A41CAF" w:rsidP="00054F1B">
      <w:pPr>
        <w:autoSpaceDE w:val="0"/>
        <w:autoSpaceDN w:val="0"/>
        <w:adjustRightInd w:val="0"/>
        <w:spacing w:after="180" w:line="240" w:lineRule="auto"/>
        <w:jc w:val="both"/>
        <w:rPr>
          <w:rFonts w:cs="Georgia"/>
          <w:b/>
          <w:i/>
        </w:rPr>
      </w:pPr>
      <w:r w:rsidRPr="00DF732A">
        <w:rPr>
          <w:rFonts w:cs="Georgia"/>
          <w:b/>
          <w:i/>
        </w:rPr>
        <w:t xml:space="preserve">Q9: </w:t>
      </w:r>
      <w:r w:rsidR="00C53DF7" w:rsidRPr="00DF732A">
        <w:rPr>
          <w:rFonts w:cs="Georgia"/>
          <w:b/>
          <w:i/>
        </w:rPr>
        <w:t>Do you agree with the proposal that financial instruments referenced to a basket or index will be subject to notification requirements laid down in Article 13(1a</w:t>
      </w:r>
      <w:proofErr w:type="gramStart"/>
      <w:r w:rsidR="00C53DF7" w:rsidRPr="00DF732A">
        <w:rPr>
          <w:rFonts w:cs="Georgia"/>
          <w:b/>
          <w:i/>
        </w:rPr>
        <w:t>)(</w:t>
      </w:r>
      <w:proofErr w:type="gramEnd"/>
      <w:r w:rsidR="00C53DF7" w:rsidRPr="00DF732A">
        <w:rPr>
          <w:rFonts w:cs="Georgia"/>
          <w:b/>
          <w:i/>
        </w:rPr>
        <w:t xml:space="preserve">a) when the relevant securities represent 1 % or more of voting rights in the underlying issuer or 20 % or more of the value of the securities in the basket/index or both of the above? </w:t>
      </w:r>
    </w:p>
    <w:p w:rsidR="00732A9B" w:rsidRDefault="0064006F" w:rsidP="00054F1B">
      <w:pPr>
        <w:autoSpaceDE w:val="0"/>
        <w:autoSpaceDN w:val="0"/>
        <w:adjustRightInd w:val="0"/>
        <w:spacing w:after="180" w:line="240" w:lineRule="auto"/>
        <w:jc w:val="both"/>
        <w:rPr>
          <w:rFonts w:cs="Georgia"/>
        </w:rPr>
      </w:pPr>
      <w:r>
        <w:rPr>
          <w:rFonts w:cs="Georgia"/>
        </w:rPr>
        <w:t>Although</w:t>
      </w:r>
      <w:r w:rsidR="00C2380D" w:rsidRPr="00C2380D">
        <w:rPr>
          <w:rFonts w:cs="Georgia"/>
        </w:rPr>
        <w:t xml:space="preserve"> we</w:t>
      </w:r>
      <w:r>
        <w:rPr>
          <w:rFonts w:cs="Georgia"/>
        </w:rPr>
        <w:t xml:space="preserve"> understand the rationale behind</w:t>
      </w:r>
      <w:r w:rsidR="00C2380D" w:rsidRPr="00C2380D">
        <w:rPr>
          <w:rFonts w:cs="Georgia"/>
        </w:rPr>
        <w:t xml:space="preserve"> </w:t>
      </w:r>
      <w:r w:rsidRPr="00C2380D">
        <w:rPr>
          <w:rFonts w:cs="Georgia"/>
        </w:rPr>
        <w:t>the 1% and 20% thresholds</w:t>
      </w:r>
      <w:r>
        <w:rPr>
          <w:rFonts w:cs="Georgia"/>
        </w:rPr>
        <w:t xml:space="preserve"> and</w:t>
      </w:r>
      <w:r w:rsidRPr="00C2380D">
        <w:rPr>
          <w:rFonts w:cs="Georgia"/>
        </w:rPr>
        <w:t xml:space="preserve"> </w:t>
      </w:r>
      <w:r w:rsidR="00C2380D" w:rsidRPr="00C2380D">
        <w:rPr>
          <w:rFonts w:cs="Georgia"/>
        </w:rPr>
        <w:t>believe that they would be helpful in reducing the number of disclosures which would not be meaningful to the market, whilst reducing scope for abuse,</w:t>
      </w:r>
      <w:r>
        <w:rPr>
          <w:rFonts w:cs="Georgia"/>
        </w:rPr>
        <w:t xml:space="preserve"> we also believe that</w:t>
      </w:r>
      <w:r w:rsidR="00AF68D3">
        <w:rPr>
          <w:rFonts w:cs="Georgia"/>
        </w:rPr>
        <w:t xml:space="preserve"> </w:t>
      </w:r>
      <w:r w:rsidR="00F6161B">
        <w:rPr>
          <w:rFonts w:cs="Georgia"/>
        </w:rPr>
        <w:t>a requirement to aggregate basket or index transactions</w:t>
      </w:r>
      <w:r w:rsidR="00AF68D3">
        <w:rPr>
          <w:rFonts w:cs="Georgia"/>
        </w:rPr>
        <w:t xml:space="preserve"> at those levels could be burdensome and that</w:t>
      </w:r>
      <w:r w:rsidR="00F6161B">
        <w:rPr>
          <w:rFonts w:cs="Georgia"/>
        </w:rPr>
        <w:t xml:space="preserve"> such</w:t>
      </w:r>
      <w:r w:rsidR="00AF68D3">
        <w:rPr>
          <w:rFonts w:cs="Georgia"/>
        </w:rPr>
        <w:t xml:space="preserve"> thresholds</w:t>
      </w:r>
      <w:r>
        <w:rPr>
          <w:rFonts w:cs="Georgia"/>
        </w:rPr>
        <w:t xml:space="preserve"> would be difficult and costly to monitor.  Therefore we </w:t>
      </w:r>
      <w:r w:rsidR="00F6161B">
        <w:rPr>
          <w:rFonts w:cs="Georgia"/>
        </w:rPr>
        <w:t xml:space="preserve">request that </w:t>
      </w:r>
      <w:r>
        <w:rPr>
          <w:rFonts w:cs="Georgia"/>
        </w:rPr>
        <w:t>ESMA consider increasing the thresholds.</w:t>
      </w:r>
      <w:r w:rsidR="00C2380D" w:rsidRPr="00C2380D">
        <w:rPr>
          <w:rFonts w:cs="Georgia"/>
        </w:rPr>
        <w:t xml:space="preserve"> </w:t>
      </w:r>
    </w:p>
    <w:p w:rsidR="00D55C6C" w:rsidRDefault="00D55C6C" w:rsidP="00054F1B">
      <w:pPr>
        <w:autoSpaceDE w:val="0"/>
        <w:autoSpaceDN w:val="0"/>
        <w:adjustRightInd w:val="0"/>
        <w:spacing w:after="180" w:line="240" w:lineRule="auto"/>
        <w:jc w:val="both"/>
        <w:rPr>
          <w:rFonts w:cs="Georgia"/>
        </w:rPr>
      </w:pPr>
      <w:r w:rsidRPr="00D55C6C">
        <w:rPr>
          <w:rFonts w:cs="Georgia"/>
        </w:rPr>
        <w:t xml:space="preserve">With regard to the 1% threshold, in the case of </w:t>
      </w:r>
      <w:r>
        <w:rPr>
          <w:rFonts w:cs="Georgia"/>
        </w:rPr>
        <w:t xml:space="preserve">certain </w:t>
      </w:r>
      <w:r w:rsidRPr="00D55C6C">
        <w:rPr>
          <w:rFonts w:cs="Georgia"/>
        </w:rPr>
        <w:t xml:space="preserve">commonly used market indices the notional value of the index is calculated by using the value of 100% of the issued shares of each component issuer (i.e. the total market value of the shares of each issuer) so that technically such indices would always breach the 1% threshold if </w:t>
      </w:r>
      <w:r>
        <w:rPr>
          <w:rFonts w:cs="Georgia"/>
        </w:rPr>
        <w:t>they were</w:t>
      </w:r>
      <w:r w:rsidRPr="00D55C6C">
        <w:rPr>
          <w:rFonts w:cs="Georgia"/>
        </w:rPr>
        <w:t xml:space="preserve"> calculated by reference to the number of shares of an issuer contained in the index.  It would therefore be hel</w:t>
      </w:r>
      <w:r>
        <w:rPr>
          <w:rFonts w:cs="Georgia"/>
        </w:rPr>
        <w:t>pful to clarify in Article 4</w:t>
      </w:r>
      <w:r w:rsidR="00BF5A79">
        <w:rPr>
          <w:rFonts w:cs="Georgia"/>
        </w:rPr>
        <w:t>(1</w:t>
      </w:r>
      <w:proofErr w:type="gramStart"/>
      <w:r w:rsidR="00BF5A79">
        <w:rPr>
          <w:rFonts w:cs="Georgia"/>
        </w:rPr>
        <w:t>)(</w:t>
      </w:r>
      <w:proofErr w:type="gramEnd"/>
      <w:r w:rsidR="00BF5A79">
        <w:rPr>
          <w:rFonts w:cs="Georgia"/>
        </w:rPr>
        <w:t>a)</w:t>
      </w:r>
      <w:r w:rsidRPr="00D55C6C">
        <w:rPr>
          <w:rFonts w:cs="Georgia"/>
        </w:rPr>
        <w:t xml:space="preserve"> </w:t>
      </w:r>
      <w:r>
        <w:rPr>
          <w:rFonts w:cs="Georgia"/>
        </w:rPr>
        <w:t xml:space="preserve">of the </w:t>
      </w:r>
      <w:r w:rsidRPr="00D55C6C">
        <w:rPr>
          <w:rFonts w:cs="Georgia"/>
        </w:rPr>
        <w:t>draft RTS that the 1% threshold is calculated by reference to the number of shares represented by the financial instrument rather than the number of shares contained</w:t>
      </w:r>
      <w:r>
        <w:rPr>
          <w:rFonts w:cs="Georgia"/>
        </w:rPr>
        <w:t xml:space="preserve"> in the basket or index itself.</w:t>
      </w:r>
    </w:p>
    <w:p w:rsidR="00A46421" w:rsidRDefault="00C2380D" w:rsidP="00054F1B">
      <w:pPr>
        <w:autoSpaceDE w:val="0"/>
        <w:autoSpaceDN w:val="0"/>
        <w:adjustRightInd w:val="0"/>
        <w:spacing w:after="180" w:line="240" w:lineRule="auto"/>
        <w:jc w:val="both"/>
        <w:rPr>
          <w:rFonts w:cs="Georgia"/>
        </w:rPr>
      </w:pPr>
      <w:r w:rsidRPr="00C2380D">
        <w:rPr>
          <w:rFonts w:cs="Georgia"/>
        </w:rPr>
        <w:lastRenderedPageBreak/>
        <w:t xml:space="preserve">In </w:t>
      </w:r>
      <w:r w:rsidR="00AF68D3">
        <w:rPr>
          <w:rFonts w:cs="Georgia"/>
        </w:rPr>
        <w:t>addition</w:t>
      </w:r>
      <w:r w:rsidRPr="00C2380D">
        <w:rPr>
          <w:rFonts w:cs="Georgia"/>
        </w:rPr>
        <w:t xml:space="preserve">, we believe </w:t>
      </w:r>
      <w:r w:rsidR="0064006F">
        <w:rPr>
          <w:rFonts w:cs="Georgia"/>
        </w:rPr>
        <w:t xml:space="preserve">that </w:t>
      </w:r>
      <w:r w:rsidRPr="00C2380D">
        <w:rPr>
          <w:rFonts w:cs="Georgia"/>
        </w:rPr>
        <w:t xml:space="preserve">it would also reduce the cost and burden of monitoring such transactions, and the incidence of meaningless disclosures, to include one or </w:t>
      </w:r>
      <w:r w:rsidR="0064006F">
        <w:rPr>
          <w:rFonts w:cs="Georgia"/>
        </w:rPr>
        <w:t>more</w:t>
      </w:r>
      <w:r w:rsidR="0064006F" w:rsidRPr="00C2380D">
        <w:rPr>
          <w:rFonts w:cs="Georgia"/>
        </w:rPr>
        <w:t xml:space="preserve"> </w:t>
      </w:r>
      <w:r w:rsidRPr="00C2380D">
        <w:rPr>
          <w:rFonts w:cs="Georgia"/>
        </w:rPr>
        <w:t>of the following clarifications</w:t>
      </w:r>
      <w:r w:rsidR="00A46421">
        <w:rPr>
          <w:rFonts w:cs="Georgia"/>
        </w:rPr>
        <w:t>:</w:t>
      </w:r>
    </w:p>
    <w:p w:rsidR="0064006F" w:rsidRDefault="00A46421" w:rsidP="00054F1B">
      <w:pPr>
        <w:autoSpaceDE w:val="0"/>
        <w:autoSpaceDN w:val="0"/>
        <w:adjustRightInd w:val="0"/>
        <w:spacing w:after="180" w:line="240" w:lineRule="auto"/>
        <w:ind w:left="720" w:hanging="720"/>
        <w:jc w:val="both"/>
        <w:rPr>
          <w:rFonts w:cs="Georgia"/>
        </w:rPr>
      </w:pPr>
      <w:r>
        <w:rPr>
          <w:rFonts w:cs="Georgia"/>
        </w:rPr>
        <w:t>(</w:t>
      </w:r>
      <w:proofErr w:type="spellStart"/>
      <w:r>
        <w:rPr>
          <w:rFonts w:cs="Georgia"/>
        </w:rPr>
        <w:t>i</w:t>
      </w:r>
      <w:proofErr w:type="spellEnd"/>
      <w:r>
        <w:rPr>
          <w:rFonts w:cs="Georgia"/>
        </w:rPr>
        <w:t>)</w:t>
      </w:r>
      <w:r w:rsidR="00054F1B">
        <w:rPr>
          <w:rFonts w:cs="Georgia"/>
        </w:rPr>
        <w:tab/>
      </w:r>
      <w:r w:rsidRPr="00A46421">
        <w:rPr>
          <w:rFonts w:cs="Georgia"/>
        </w:rPr>
        <w:t>that if an</w:t>
      </w:r>
      <w:r>
        <w:rPr>
          <w:rFonts w:cs="Georgia"/>
        </w:rPr>
        <w:t xml:space="preserve"> index/basket is </w:t>
      </w:r>
      <w:r w:rsidR="00AF70A3">
        <w:rPr>
          <w:rFonts w:cs="Georgia"/>
        </w:rPr>
        <w:t>re-balanced</w:t>
      </w:r>
      <w:r w:rsidRPr="00A46421">
        <w:rPr>
          <w:rFonts w:cs="Georgia"/>
        </w:rPr>
        <w:t xml:space="preserve"> </w:t>
      </w:r>
      <w:r w:rsidR="0024724B">
        <w:rPr>
          <w:rFonts w:cs="Georgia"/>
        </w:rPr>
        <w:t xml:space="preserve">or adjusted </w:t>
      </w:r>
      <w:r>
        <w:rPr>
          <w:rFonts w:cs="Georgia"/>
        </w:rPr>
        <w:t xml:space="preserve">on a regular basis </w:t>
      </w:r>
      <w:r w:rsidR="0024724B">
        <w:rPr>
          <w:rFonts w:cs="Georgia"/>
        </w:rPr>
        <w:t>either automatically or at the discretion of a third party</w:t>
      </w:r>
      <w:r>
        <w:rPr>
          <w:rFonts w:cs="Georgia"/>
        </w:rPr>
        <w:t xml:space="preserve"> then </w:t>
      </w:r>
      <w:r w:rsidRPr="00A46421">
        <w:rPr>
          <w:rFonts w:cs="Georgia"/>
        </w:rPr>
        <w:t>pas</w:t>
      </w:r>
      <w:r>
        <w:rPr>
          <w:rFonts w:cs="Georgia"/>
        </w:rPr>
        <w:t xml:space="preserve">sive breaches of the </w:t>
      </w:r>
      <w:r w:rsidR="0024724B">
        <w:rPr>
          <w:rFonts w:cs="Georgia"/>
        </w:rPr>
        <w:t>threshold</w:t>
      </w:r>
      <w:r w:rsidR="00AF68D3">
        <w:rPr>
          <w:rFonts w:cs="Georgia"/>
        </w:rPr>
        <w:t>s</w:t>
      </w:r>
      <w:r w:rsidR="00F6161B">
        <w:rPr>
          <w:rFonts w:cs="Georgia"/>
        </w:rPr>
        <w:t xml:space="preserve"> need not trigger a requirement to aggregate the transaction</w:t>
      </w:r>
      <w:r>
        <w:rPr>
          <w:rFonts w:cs="Georgia"/>
        </w:rPr>
        <w:t xml:space="preserve">; </w:t>
      </w:r>
    </w:p>
    <w:p w:rsidR="00A46421" w:rsidRDefault="0064006F" w:rsidP="00054F1B">
      <w:pPr>
        <w:autoSpaceDE w:val="0"/>
        <w:autoSpaceDN w:val="0"/>
        <w:adjustRightInd w:val="0"/>
        <w:spacing w:after="180" w:line="240" w:lineRule="auto"/>
        <w:ind w:left="720" w:hanging="720"/>
        <w:jc w:val="both"/>
        <w:rPr>
          <w:rFonts w:cs="Georgia"/>
        </w:rPr>
      </w:pPr>
      <w:r>
        <w:rPr>
          <w:rFonts w:cs="Georgia"/>
        </w:rPr>
        <w:t>(ii)</w:t>
      </w:r>
      <w:r>
        <w:rPr>
          <w:rFonts w:cs="Georgia"/>
        </w:rPr>
        <w:tab/>
      </w:r>
      <w:proofErr w:type="gramStart"/>
      <w:r>
        <w:rPr>
          <w:rFonts w:cs="Georgia"/>
        </w:rPr>
        <w:t>that</w:t>
      </w:r>
      <w:proofErr w:type="gramEnd"/>
      <w:r>
        <w:rPr>
          <w:rFonts w:cs="Georgia"/>
        </w:rPr>
        <w:t xml:space="preserve"> if</w:t>
      </w:r>
      <w:r w:rsidRPr="0064006F">
        <w:t xml:space="preserve"> </w:t>
      </w:r>
      <w:r>
        <w:rPr>
          <w:rFonts w:cs="Georgia"/>
        </w:rPr>
        <w:t>the composition of</w:t>
      </w:r>
      <w:r w:rsidRPr="0064006F">
        <w:rPr>
          <w:rFonts w:cs="Georgia"/>
        </w:rPr>
        <w:t xml:space="preserve"> an index/basket</w:t>
      </w:r>
      <w:r>
        <w:rPr>
          <w:rFonts w:cs="Georgia"/>
        </w:rPr>
        <w:t xml:space="preserve"> is determined by a third party and the investor in such index/basket has no power to influence the composition, the investor should not </w:t>
      </w:r>
      <w:r w:rsidR="00AF68D3">
        <w:rPr>
          <w:rFonts w:cs="Georgia"/>
        </w:rPr>
        <w:t xml:space="preserve">need </w:t>
      </w:r>
      <w:r w:rsidR="00F6161B" w:rsidRPr="00F6161B">
        <w:rPr>
          <w:rFonts w:cs="Georgia"/>
        </w:rPr>
        <w:t>to aggregate the transaction</w:t>
      </w:r>
      <w:r w:rsidR="00F6161B">
        <w:rPr>
          <w:rFonts w:cs="Georgia"/>
        </w:rPr>
        <w:t xml:space="preserve"> referencing such index/basket</w:t>
      </w:r>
      <w:r w:rsidR="00AF68D3">
        <w:rPr>
          <w:rFonts w:cs="Georgia"/>
        </w:rPr>
        <w:t>;</w:t>
      </w:r>
    </w:p>
    <w:p w:rsidR="00E82DF5" w:rsidRDefault="00A46421" w:rsidP="00054F1B">
      <w:pPr>
        <w:autoSpaceDE w:val="0"/>
        <w:autoSpaceDN w:val="0"/>
        <w:adjustRightInd w:val="0"/>
        <w:spacing w:after="180" w:line="240" w:lineRule="auto"/>
        <w:ind w:left="720" w:hanging="720"/>
        <w:jc w:val="both"/>
        <w:rPr>
          <w:rFonts w:cs="Georgia"/>
        </w:rPr>
      </w:pPr>
      <w:r>
        <w:rPr>
          <w:rFonts w:cs="Georgia"/>
        </w:rPr>
        <w:t>(ii</w:t>
      </w:r>
      <w:r w:rsidR="0064006F">
        <w:rPr>
          <w:rFonts w:cs="Georgia"/>
        </w:rPr>
        <w:t>i</w:t>
      </w:r>
      <w:r>
        <w:rPr>
          <w:rFonts w:cs="Georgia"/>
        </w:rPr>
        <w:t>)</w:t>
      </w:r>
      <w:r w:rsidR="00054F1B">
        <w:rPr>
          <w:rFonts w:cs="Georgia"/>
        </w:rPr>
        <w:tab/>
      </w:r>
      <w:proofErr w:type="gramStart"/>
      <w:r w:rsidRPr="00A46421">
        <w:rPr>
          <w:rFonts w:cs="Georgia"/>
        </w:rPr>
        <w:t>that</w:t>
      </w:r>
      <w:proofErr w:type="gramEnd"/>
      <w:r w:rsidRPr="00A46421">
        <w:rPr>
          <w:rFonts w:cs="Georgia"/>
        </w:rPr>
        <w:t xml:space="preserve"> the index/basket weights will only be observed on the trade date at the outs</w:t>
      </w:r>
      <w:r>
        <w:rPr>
          <w:rFonts w:cs="Georgia"/>
        </w:rPr>
        <w:t>et and not continuously tested</w:t>
      </w:r>
      <w:r w:rsidR="00AF68D3">
        <w:rPr>
          <w:rFonts w:cs="Georgia"/>
        </w:rPr>
        <w:t>; and</w:t>
      </w:r>
    </w:p>
    <w:p w:rsidR="00AF68D3" w:rsidRDefault="00AF68D3" w:rsidP="00054F1B">
      <w:pPr>
        <w:autoSpaceDE w:val="0"/>
        <w:autoSpaceDN w:val="0"/>
        <w:adjustRightInd w:val="0"/>
        <w:spacing w:after="180" w:line="240" w:lineRule="auto"/>
        <w:ind w:left="720" w:hanging="720"/>
        <w:jc w:val="both"/>
        <w:rPr>
          <w:rFonts w:cs="Georgia"/>
        </w:rPr>
      </w:pPr>
      <w:r>
        <w:rPr>
          <w:rFonts w:cs="Georgia"/>
        </w:rPr>
        <w:t>(iv)</w:t>
      </w:r>
      <w:r>
        <w:rPr>
          <w:rFonts w:cs="Georgia"/>
        </w:rPr>
        <w:tab/>
      </w:r>
      <w:proofErr w:type="gramStart"/>
      <w:r>
        <w:rPr>
          <w:rFonts w:cs="Georgia"/>
        </w:rPr>
        <w:t>that</w:t>
      </w:r>
      <w:proofErr w:type="gramEnd"/>
      <w:r>
        <w:rPr>
          <w:rFonts w:cs="Georgia"/>
        </w:rPr>
        <w:t xml:space="preserve"> the thresholds should apply </w:t>
      </w:r>
      <w:r w:rsidR="00F6161B">
        <w:rPr>
          <w:rFonts w:cs="Georgia"/>
        </w:rPr>
        <w:t xml:space="preserve">such that aggregation </w:t>
      </w:r>
      <w:r>
        <w:rPr>
          <w:rFonts w:cs="Georgia"/>
        </w:rPr>
        <w:t>is required only if both of them are breached.</w:t>
      </w:r>
    </w:p>
    <w:p w:rsidR="00A46421" w:rsidRDefault="00AF70A3" w:rsidP="00054F1B">
      <w:pPr>
        <w:autoSpaceDE w:val="0"/>
        <w:autoSpaceDN w:val="0"/>
        <w:adjustRightInd w:val="0"/>
        <w:spacing w:after="180" w:line="240" w:lineRule="auto"/>
        <w:jc w:val="both"/>
        <w:rPr>
          <w:rFonts w:cs="Georgia"/>
        </w:rPr>
      </w:pPr>
      <w:r>
        <w:rPr>
          <w:rFonts w:cs="Georgia"/>
        </w:rPr>
        <w:t>Regarding point (</w:t>
      </w:r>
      <w:proofErr w:type="spellStart"/>
      <w:r>
        <w:rPr>
          <w:rFonts w:cs="Georgia"/>
        </w:rPr>
        <w:t>i</w:t>
      </w:r>
      <w:proofErr w:type="spellEnd"/>
      <w:r>
        <w:rPr>
          <w:rFonts w:cs="Georgia"/>
        </w:rPr>
        <w:t xml:space="preserve">) in particular, we note that in the UK the </w:t>
      </w:r>
      <w:r w:rsidRPr="00AF70A3">
        <w:rPr>
          <w:rFonts w:cs="Georgia"/>
        </w:rPr>
        <w:t xml:space="preserve">FCA </w:t>
      </w:r>
      <w:r>
        <w:rPr>
          <w:rFonts w:cs="Georgia"/>
        </w:rPr>
        <w:t xml:space="preserve">has given guidance to the effect that </w:t>
      </w:r>
      <w:r w:rsidRPr="00AF70A3">
        <w:rPr>
          <w:rFonts w:cs="Georgia"/>
        </w:rPr>
        <w:t>passive changes due to index re</w:t>
      </w:r>
      <w:r>
        <w:rPr>
          <w:rFonts w:cs="Georgia"/>
        </w:rPr>
        <w:t>-balancing</w:t>
      </w:r>
      <w:r w:rsidRPr="00AF70A3">
        <w:rPr>
          <w:rFonts w:cs="Georgia"/>
        </w:rPr>
        <w:t xml:space="preserve"> do not require additional disclosure.</w:t>
      </w:r>
    </w:p>
    <w:p w:rsidR="00C53DF7" w:rsidRPr="00DF732A" w:rsidRDefault="00E82DF5" w:rsidP="0024724B">
      <w:pPr>
        <w:keepNext/>
        <w:autoSpaceDE w:val="0"/>
        <w:autoSpaceDN w:val="0"/>
        <w:adjustRightInd w:val="0"/>
        <w:spacing w:after="180" w:line="240" w:lineRule="auto"/>
        <w:ind w:left="567" w:hanging="567"/>
        <w:rPr>
          <w:rFonts w:cs="Georgia"/>
          <w:b/>
          <w:i/>
        </w:rPr>
      </w:pPr>
      <w:r w:rsidRPr="00DF732A">
        <w:rPr>
          <w:rFonts w:cs="Georgia"/>
          <w:b/>
          <w:i/>
        </w:rPr>
        <w:t xml:space="preserve">Q10: </w:t>
      </w:r>
      <w:r w:rsidR="00C53DF7" w:rsidRPr="00DF732A">
        <w:rPr>
          <w:rFonts w:cs="Georgia"/>
          <w:b/>
          <w:i/>
        </w:rPr>
        <w:t xml:space="preserve">Are there any other thresholds we should consider? </w:t>
      </w:r>
    </w:p>
    <w:p w:rsidR="00C53DF7" w:rsidRPr="00DF732A" w:rsidRDefault="00C53DF7" w:rsidP="004E4FC0">
      <w:pPr>
        <w:keepNext/>
        <w:autoSpaceDE w:val="0"/>
        <w:autoSpaceDN w:val="0"/>
        <w:adjustRightInd w:val="0"/>
        <w:spacing w:after="180" w:line="240" w:lineRule="auto"/>
        <w:ind w:left="567" w:hanging="567"/>
        <w:rPr>
          <w:rFonts w:cs="Georgia"/>
        </w:rPr>
      </w:pPr>
      <w:r w:rsidRPr="00DF732A">
        <w:rPr>
          <w:rFonts w:cs="Georgia"/>
        </w:rPr>
        <w:t xml:space="preserve">We have no </w:t>
      </w:r>
      <w:r w:rsidR="0024724B">
        <w:rPr>
          <w:rFonts w:cs="Georgia"/>
        </w:rPr>
        <w:t xml:space="preserve">specific </w:t>
      </w:r>
      <w:r w:rsidRPr="00DF732A">
        <w:rPr>
          <w:rFonts w:cs="Georgia"/>
        </w:rPr>
        <w:t>proposals to make.</w:t>
      </w:r>
    </w:p>
    <w:p w:rsidR="00C53DF7" w:rsidRPr="00DF732A" w:rsidRDefault="00E82DF5" w:rsidP="0024724B">
      <w:pPr>
        <w:autoSpaceDE w:val="0"/>
        <w:autoSpaceDN w:val="0"/>
        <w:adjustRightInd w:val="0"/>
        <w:spacing w:after="180" w:line="240" w:lineRule="auto"/>
        <w:jc w:val="both"/>
        <w:rPr>
          <w:rFonts w:cs="Georgia"/>
          <w:b/>
          <w:i/>
        </w:rPr>
      </w:pPr>
      <w:r w:rsidRPr="00DF732A">
        <w:rPr>
          <w:rFonts w:cs="Georgia"/>
          <w:b/>
          <w:i/>
        </w:rPr>
        <w:t xml:space="preserve">Q11: </w:t>
      </w:r>
      <w:r w:rsidR="00C53DF7" w:rsidRPr="00DF732A">
        <w:rPr>
          <w:rFonts w:cs="Georgia"/>
          <w:b/>
          <w:i/>
        </w:rPr>
        <w:t xml:space="preserve">Please estimate the number of disclosures you would have to make per year should the above mentioned thresholds be adopted. Please also provide an estimate of the compliance costs associated with the disclosure (please distinguish between one-off and on-going costs). </w:t>
      </w:r>
    </w:p>
    <w:p w:rsidR="00C53DF7" w:rsidRPr="00DF732A" w:rsidRDefault="0024724B" w:rsidP="0024724B">
      <w:pPr>
        <w:autoSpaceDE w:val="0"/>
        <w:autoSpaceDN w:val="0"/>
        <w:adjustRightInd w:val="0"/>
        <w:spacing w:after="180" w:line="240" w:lineRule="auto"/>
        <w:jc w:val="both"/>
        <w:rPr>
          <w:rFonts w:cs="Georgia"/>
        </w:rPr>
      </w:pPr>
      <w:r>
        <w:rPr>
          <w:rFonts w:cs="Georgia"/>
        </w:rPr>
        <w:t>AFME and ISDA do not have specific information as this will vary considerably amongst member firms.</w:t>
      </w:r>
    </w:p>
    <w:p w:rsidR="00E82DF5" w:rsidRDefault="00E82DF5" w:rsidP="00054F1B">
      <w:pPr>
        <w:autoSpaceDE w:val="0"/>
        <w:autoSpaceDN w:val="0"/>
        <w:adjustRightInd w:val="0"/>
        <w:spacing w:after="180" w:line="240" w:lineRule="auto"/>
        <w:jc w:val="both"/>
        <w:rPr>
          <w:rFonts w:cs="Georgia"/>
          <w:b/>
          <w:i/>
        </w:rPr>
      </w:pPr>
      <w:r w:rsidRPr="00DF732A">
        <w:rPr>
          <w:rFonts w:cs="Georgia"/>
          <w:b/>
          <w:i/>
        </w:rPr>
        <w:t xml:space="preserve">Q12: </w:t>
      </w:r>
      <w:r w:rsidR="00C53DF7" w:rsidRPr="00DF732A">
        <w:rPr>
          <w:rFonts w:cs="Georgia"/>
          <w:b/>
          <w:i/>
        </w:rPr>
        <w:t>Do you agree that a financial instrument referenced to a series of baskets which are under the thresholds individually but would exceed the thresholds if added and totalled should not be disclosed on an aggregated basis?</w:t>
      </w:r>
    </w:p>
    <w:p w:rsidR="00A85D2F" w:rsidRDefault="00F7499E" w:rsidP="00054F1B">
      <w:pPr>
        <w:autoSpaceDE w:val="0"/>
        <w:autoSpaceDN w:val="0"/>
        <w:adjustRightInd w:val="0"/>
        <w:spacing w:after="180" w:line="240" w:lineRule="auto"/>
        <w:jc w:val="both"/>
        <w:rPr>
          <w:rFonts w:cs="Georgia"/>
        </w:rPr>
      </w:pPr>
      <w:r>
        <w:rPr>
          <w:rFonts w:cs="Georgia"/>
        </w:rPr>
        <w:t>Yes, we agree.  Our view is that</w:t>
      </w:r>
      <w:r w:rsidR="00A85D2F" w:rsidRPr="00A85D2F">
        <w:rPr>
          <w:rFonts w:cs="Georgia"/>
        </w:rPr>
        <w:t xml:space="preserve"> </w:t>
      </w:r>
      <w:r>
        <w:rPr>
          <w:rFonts w:cs="Georgia"/>
        </w:rPr>
        <w:t>aggregating baskets would add complexity that could compromise firms</w:t>
      </w:r>
      <w:r w:rsidR="00054F1B">
        <w:rPr>
          <w:rFonts w:cs="Georgia"/>
        </w:rPr>
        <w:t>'</w:t>
      </w:r>
      <w:r>
        <w:rPr>
          <w:rFonts w:cs="Georgia"/>
        </w:rPr>
        <w:t xml:space="preserve"> ability to monitor effectively but would not achieve a significant benefit to the market.  </w:t>
      </w:r>
    </w:p>
    <w:p w:rsidR="00A85D2F" w:rsidRPr="00A85D2F" w:rsidRDefault="00F7499E" w:rsidP="00054F1B">
      <w:pPr>
        <w:autoSpaceDE w:val="0"/>
        <w:autoSpaceDN w:val="0"/>
        <w:adjustRightInd w:val="0"/>
        <w:spacing w:after="180" w:line="240" w:lineRule="auto"/>
        <w:jc w:val="both"/>
        <w:rPr>
          <w:rFonts w:cs="Georgia"/>
        </w:rPr>
      </w:pPr>
      <w:r>
        <w:rPr>
          <w:rFonts w:cs="Georgia"/>
        </w:rPr>
        <w:t xml:space="preserve">As an example of the potential complexity, we note that </w:t>
      </w:r>
      <w:r w:rsidR="0024724B">
        <w:rPr>
          <w:rFonts w:cs="Georgia"/>
        </w:rPr>
        <w:t xml:space="preserve">any requirement to aggregate a series of baskets </w:t>
      </w:r>
      <w:r w:rsidR="00A85D2F" w:rsidRPr="00A85D2F">
        <w:rPr>
          <w:rFonts w:cs="Georgia"/>
        </w:rPr>
        <w:t xml:space="preserve">could be interpreted as </w:t>
      </w:r>
      <w:r w:rsidR="0024724B">
        <w:rPr>
          <w:rFonts w:cs="Georgia"/>
        </w:rPr>
        <w:t xml:space="preserve">applying to </w:t>
      </w:r>
      <w:r>
        <w:rPr>
          <w:rFonts w:cs="Georgia"/>
        </w:rPr>
        <w:t>any one of the following</w:t>
      </w:r>
      <w:r w:rsidR="00A85D2F" w:rsidRPr="00A85D2F">
        <w:rPr>
          <w:rFonts w:cs="Georgia"/>
        </w:rPr>
        <w:t xml:space="preserve"> situations</w:t>
      </w:r>
      <w:r>
        <w:rPr>
          <w:rFonts w:cs="Georgia"/>
        </w:rPr>
        <w:t>, among others</w:t>
      </w:r>
      <w:r w:rsidR="00A85D2F" w:rsidRPr="00A85D2F">
        <w:rPr>
          <w:rFonts w:cs="Georgia"/>
        </w:rPr>
        <w:t>:</w:t>
      </w:r>
    </w:p>
    <w:p w:rsidR="00A85D2F" w:rsidRPr="00A85D2F" w:rsidRDefault="00374238" w:rsidP="00054F1B">
      <w:pPr>
        <w:autoSpaceDE w:val="0"/>
        <w:autoSpaceDN w:val="0"/>
        <w:adjustRightInd w:val="0"/>
        <w:spacing w:after="180" w:line="240" w:lineRule="auto"/>
        <w:ind w:left="720" w:hanging="720"/>
        <w:jc w:val="both"/>
        <w:rPr>
          <w:rFonts w:cs="Georgia"/>
        </w:rPr>
      </w:pPr>
      <w:r>
        <w:rPr>
          <w:rFonts w:cs="Georgia"/>
        </w:rPr>
        <w:t>(</w:t>
      </w:r>
      <w:proofErr w:type="spellStart"/>
      <w:r>
        <w:rPr>
          <w:rFonts w:cs="Georgia"/>
        </w:rPr>
        <w:t>i</w:t>
      </w:r>
      <w:proofErr w:type="spellEnd"/>
      <w:r w:rsidR="00A85D2F" w:rsidRPr="00A85D2F">
        <w:rPr>
          <w:rFonts w:cs="Georgia"/>
        </w:rPr>
        <w:t xml:space="preserve">) </w:t>
      </w:r>
      <w:r w:rsidR="00054F1B">
        <w:rPr>
          <w:rFonts w:cs="Georgia"/>
        </w:rPr>
        <w:tab/>
      </w:r>
      <w:proofErr w:type="gramStart"/>
      <w:r w:rsidR="00A85D2F" w:rsidRPr="00A85D2F">
        <w:rPr>
          <w:rFonts w:cs="Georgia"/>
        </w:rPr>
        <w:t>multiple</w:t>
      </w:r>
      <w:proofErr w:type="gramEnd"/>
      <w:r w:rsidR="00A85D2F" w:rsidRPr="00A85D2F">
        <w:rPr>
          <w:rFonts w:cs="Georgia"/>
        </w:rPr>
        <w:t xml:space="preserve"> trades on the same basket; or</w:t>
      </w:r>
    </w:p>
    <w:p w:rsidR="00A85D2F" w:rsidRPr="00A85D2F" w:rsidRDefault="00374238" w:rsidP="00054F1B">
      <w:pPr>
        <w:autoSpaceDE w:val="0"/>
        <w:autoSpaceDN w:val="0"/>
        <w:adjustRightInd w:val="0"/>
        <w:spacing w:after="180" w:line="240" w:lineRule="auto"/>
        <w:ind w:left="720" w:hanging="720"/>
        <w:jc w:val="both"/>
        <w:rPr>
          <w:rFonts w:cs="Georgia"/>
        </w:rPr>
      </w:pPr>
      <w:r>
        <w:rPr>
          <w:rFonts w:cs="Georgia"/>
        </w:rPr>
        <w:t>(ii</w:t>
      </w:r>
      <w:r w:rsidR="00A85D2F" w:rsidRPr="00A85D2F">
        <w:rPr>
          <w:rFonts w:cs="Georgia"/>
        </w:rPr>
        <w:t xml:space="preserve">) </w:t>
      </w:r>
      <w:r w:rsidR="00054F1B">
        <w:rPr>
          <w:rFonts w:cs="Georgia"/>
        </w:rPr>
        <w:tab/>
      </w:r>
      <w:proofErr w:type="gramStart"/>
      <w:r w:rsidR="00A85D2F" w:rsidRPr="00A85D2F">
        <w:rPr>
          <w:rFonts w:cs="Georgia"/>
        </w:rPr>
        <w:t>multiple</w:t>
      </w:r>
      <w:proofErr w:type="gramEnd"/>
      <w:r w:rsidR="00A85D2F" w:rsidRPr="00A85D2F">
        <w:rPr>
          <w:rFonts w:cs="Georgia"/>
        </w:rPr>
        <w:t xml:space="preserve"> trades on similar ba</w:t>
      </w:r>
      <w:r w:rsidR="00F7499E">
        <w:rPr>
          <w:rFonts w:cs="Georgia"/>
        </w:rPr>
        <w:t>skets (which all contain a particular stock</w:t>
      </w:r>
      <w:r w:rsidR="00A85D2F" w:rsidRPr="00A85D2F">
        <w:rPr>
          <w:rFonts w:cs="Georgia"/>
        </w:rPr>
        <w:t>); or</w:t>
      </w:r>
    </w:p>
    <w:p w:rsidR="00A85D2F" w:rsidRDefault="00374238" w:rsidP="00054F1B">
      <w:pPr>
        <w:autoSpaceDE w:val="0"/>
        <w:autoSpaceDN w:val="0"/>
        <w:adjustRightInd w:val="0"/>
        <w:spacing w:after="180" w:line="240" w:lineRule="auto"/>
        <w:ind w:left="720" w:hanging="720"/>
        <w:jc w:val="both"/>
        <w:rPr>
          <w:rFonts w:cs="Georgia"/>
        </w:rPr>
      </w:pPr>
      <w:r>
        <w:rPr>
          <w:rFonts w:cs="Georgia"/>
        </w:rPr>
        <w:t>(iii</w:t>
      </w:r>
      <w:r w:rsidR="00A85D2F" w:rsidRPr="00A85D2F">
        <w:rPr>
          <w:rFonts w:cs="Georgia"/>
        </w:rPr>
        <w:t xml:space="preserve">) </w:t>
      </w:r>
      <w:r w:rsidR="00054F1B">
        <w:rPr>
          <w:rFonts w:cs="Georgia"/>
        </w:rPr>
        <w:tab/>
      </w:r>
      <w:proofErr w:type="gramStart"/>
      <w:r w:rsidR="00F7499E">
        <w:rPr>
          <w:rFonts w:cs="Georgia"/>
        </w:rPr>
        <w:t>multiple</w:t>
      </w:r>
      <w:proofErr w:type="gramEnd"/>
      <w:r w:rsidR="00F7499E">
        <w:rPr>
          <w:rFonts w:cs="Georgia"/>
        </w:rPr>
        <w:t xml:space="preserve"> iterations of the same/similar trade</w:t>
      </w:r>
      <w:r w:rsidR="00A85D2F" w:rsidRPr="00A85D2F">
        <w:rPr>
          <w:rFonts w:cs="Georgia"/>
        </w:rPr>
        <w:t xml:space="preserve"> with different customers, or some/a</w:t>
      </w:r>
      <w:r w:rsidR="00F7499E">
        <w:rPr>
          <w:rFonts w:cs="Georgia"/>
        </w:rPr>
        <w:t>ll of the trades with the same customer.</w:t>
      </w:r>
    </w:p>
    <w:p w:rsidR="00D55C6C" w:rsidRPr="00A85D2F" w:rsidRDefault="00D55C6C" w:rsidP="00D55C6C">
      <w:pPr>
        <w:autoSpaceDE w:val="0"/>
        <w:autoSpaceDN w:val="0"/>
        <w:adjustRightInd w:val="0"/>
        <w:spacing w:after="180" w:line="240" w:lineRule="auto"/>
        <w:jc w:val="both"/>
        <w:rPr>
          <w:rFonts w:cs="Georgia"/>
        </w:rPr>
      </w:pPr>
      <w:r w:rsidRPr="00D55C6C">
        <w:rPr>
          <w:rFonts w:cs="Georgia"/>
        </w:rPr>
        <w:t xml:space="preserve">In addition, </w:t>
      </w:r>
      <w:r>
        <w:rPr>
          <w:rFonts w:cs="Georgia"/>
        </w:rPr>
        <w:t>we request clari</w:t>
      </w:r>
      <w:r w:rsidR="00EC4BC3">
        <w:rPr>
          <w:rFonts w:cs="Georgia"/>
        </w:rPr>
        <w:t xml:space="preserve">fication </w:t>
      </w:r>
      <w:r>
        <w:rPr>
          <w:rFonts w:cs="Georgia"/>
        </w:rPr>
        <w:t>that</w:t>
      </w:r>
      <w:r w:rsidRPr="00D55C6C">
        <w:rPr>
          <w:rFonts w:cs="Georgia"/>
        </w:rPr>
        <w:t xml:space="preserve"> Article 4</w:t>
      </w:r>
      <w:r w:rsidR="00BF5A79">
        <w:rPr>
          <w:rFonts w:cs="Georgia"/>
        </w:rPr>
        <w:t>(2)</w:t>
      </w:r>
      <w:r w:rsidRPr="00D55C6C">
        <w:rPr>
          <w:rFonts w:cs="Georgia"/>
        </w:rPr>
        <w:t xml:space="preserve"> of the draft RTS applies to indices and not </w:t>
      </w:r>
      <w:r>
        <w:rPr>
          <w:rFonts w:cs="Georgia"/>
        </w:rPr>
        <w:t>only</w:t>
      </w:r>
      <w:r w:rsidRPr="00D55C6C">
        <w:rPr>
          <w:rFonts w:cs="Georgia"/>
        </w:rPr>
        <w:t xml:space="preserve"> baskets.  The</w:t>
      </w:r>
      <w:r>
        <w:rPr>
          <w:rFonts w:cs="Georgia"/>
        </w:rPr>
        <w:t xml:space="preserve"> draft</w:t>
      </w:r>
      <w:r w:rsidRPr="00D55C6C">
        <w:rPr>
          <w:rFonts w:cs="Georgia"/>
        </w:rPr>
        <w:t xml:space="preserve"> wording currently refers only to </w:t>
      </w:r>
      <w:proofErr w:type="gramStart"/>
      <w:r w:rsidRPr="00D55C6C">
        <w:rPr>
          <w:rFonts w:cs="Georgia"/>
        </w:rPr>
        <w:t>baskets,</w:t>
      </w:r>
      <w:proofErr w:type="gramEnd"/>
      <w:r w:rsidRPr="00D55C6C">
        <w:rPr>
          <w:rFonts w:cs="Georgia"/>
        </w:rPr>
        <w:t xml:space="preserve"> </w:t>
      </w:r>
      <w:r>
        <w:rPr>
          <w:rFonts w:cs="Georgia"/>
        </w:rPr>
        <w:t>however</w:t>
      </w:r>
      <w:r w:rsidR="00F26DB7">
        <w:rPr>
          <w:rFonts w:cs="Georgia"/>
        </w:rPr>
        <w:t>,</w:t>
      </w:r>
      <w:bookmarkStart w:id="1" w:name="_GoBack"/>
      <w:bookmarkEnd w:id="1"/>
      <w:r>
        <w:rPr>
          <w:rFonts w:cs="Georgia"/>
        </w:rPr>
        <w:t xml:space="preserve"> since </w:t>
      </w:r>
      <w:r w:rsidR="003251ED">
        <w:rPr>
          <w:rFonts w:cs="Georgia"/>
        </w:rPr>
        <w:t>paragraph</w:t>
      </w:r>
      <w:r>
        <w:rPr>
          <w:rFonts w:cs="Georgia"/>
        </w:rPr>
        <w:t> </w:t>
      </w:r>
      <w:r w:rsidRPr="00D55C6C">
        <w:rPr>
          <w:rFonts w:cs="Georgia"/>
        </w:rPr>
        <w:t>2 is a derog</w:t>
      </w:r>
      <w:r w:rsidR="003251ED">
        <w:rPr>
          <w:rFonts w:cs="Georgia"/>
        </w:rPr>
        <w:t>ation from paragraph</w:t>
      </w:r>
      <w:r w:rsidR="002F4846">
        <w:rPr>
          <w:rFonts w:cs="Georgia"/>
        </w:rPr>
        <w:t xml:space="preserve"> 1, we believe it should refer</w:t>
      </w:r>
      <w:r w:rsidRPr="00D55C6C">
        <w:rPr>
          <w:rFonts w:cs="Georgia"/>
        </w:rPr>
        <w:t xml:space="preserve"> to both indices and baskets</w:t>
      </w:r>
      <w:r w:rsidR="002F4846">
        <w:rPr>
          <w:rFonts w:cs="Georgia"/>
        </w:rPr>
        <w:t xml:space="preserve"> as p</w:t>
      </w:r>
      <w:r w:rsidR="003251ED">
        <w:rPr>
          <w:rFonts w:cs="Georgia"/>
        </w:rPr>
        <w:t>aragraph</w:t>
      </w:r>
      <w:r w:rsidR="002F4846">
        <w:rPr>
          <w:rFonts w:cs="Georgia"/>
        </w:rPr>
        <w:t xml:space="preserve"> 1 does</w:t>
      </w:r>
      <w:r>
        <w:rPr>
          <w:rFonts w:cs="Georgia"/>
        </w:rPr>
        <w:t>.</w:t>
      </w:r>
    </w:p>
    <w:p w:rsidR="009C4642" w:rsidRPr="00DF732A" w:rsidRDefault="009C4642" w:rsidP="00EC4BC3">
      <w:pPr>
        <w:pStyle w:val="Default"/>
        <w:keepNext/>
        <w:keepLines/>
        <w:spacing w:after="180"/>
        <w:jc w:val="both"/>
        <w:rPr>
          <w:rFonts w:ascii="Calibri" w:hAnsi="Calibri" w:cs="Georgia"/>
          <w:b/>
          <w:bCs/>
          <w:i/>
          <w:color w:val="7030A0"/>
          <w:sz w:val="28"/>
          <w:szCs w:val="28"/>
          <w:lang w:val="en-GB" w:eastAsia="en-GB"/>
        </w:rPr>
      </w:pPr>
      <w:r w:rsidRPr="00DF732A">
        <w:rPr>
          <w:rFonts w:ascii="Calibri" w:hAnsi="Calibri" w:cs="Georgia"/>
          <w:b/>
          <w:bCs/>
          <w:i/>
          <w:color w:val="7030A0"/>
          <w:sz w:val="28"/>
          <w:szCs w:val="28"/>
          <w:lang w:eastAsia="en-GB"/>
        </w:rPr>
        <w:lastRenderedPageBreak/>
        <w:t>Methods of determining delta for the purposes of calculating voting rights relating to financial instruments which provide exclusively for a cash settlement</w:t>
      </w:r>
    </w:p>
    <w:p w:rsidR="00F065E1" w:rsidRPr="00DF732A" w:rsidRDefault="00F065E1" w:rsidP="00EC4BC3">
      <w:pPr>
        <w:pStyle w:val="Default"/>
        <w:keepNext/>
        <w:keepLines/>
        <w:spacing w:after="180"/>
        <w:jc w:val="both"/>
        <w:rPr>
          <w:rFonts w:ascii="Calibri" w:hAnsi="Calibri" w:cs="Georgia"/>
          <w:b/>
          <w:bCs/>
          <w:i/>
          <w:sz w:val="22"/>
          <w:szCs w:val="22"/>
          <w:lang w:eastAsia="en-GB"/>
        </w:rPr>
      </w:pPr>
      <w:r w:rsidRPr="00DF732A">
        <w:rPr>
          <w:rFonts w:ascii="Calibri" w:hAnsi="Calibri" w:cs="Georgia"/>
          <w:b/>
          <w:bCs/>
          <w:i/>
          <w:sz w:val="22"/>
          <w:szCs w:val="22"/>
          <w:lang w:eastAsia="en-GB"/>
        </w:rPr>
        <w:t xml:space="preserve">Q13: Do you agree that our proposal for the method of determining delta will prevent circumvention of notification rules and excessive disclosure of positions? If not, please explain. </w:t>
      </w:r>
    </w:p>
    <w:p w:rsidR="00E82DF5" w:rsidRPr="00520AC4" w:rsidRDefault="00E82DF5" w:rsidP="00054F1B">
      <w:pPr>
        <w:pStyle w:val="Default"/>
        <w:spacing w:after="180"/>
        <w:jc w:val="both"/>
        <w:rPr>
          <w:rFonts w:ascii="Calibri" w:hAnsi="Calibri" w:cs="Calibri"/>
          <w:color w:val="auto"/>
          <w:sz w:val="22"/>
          <w:szCs w:val="22"/>
        </w:rPr>
      </w:pPr>
      <w:r w:rsidRPr="00520AC4">
        <w:rPr>
          <w:rFonts w:ascii="Calibri" w:hAnsi="Calibri" w:cs="Georgia"/>
          <w:color w:val="auto"/>
          <w:sz w:val="22"/>
          <w:szCs w:val="22"/>
        </w:rPr>
        <w:t>Yes, w</w:t>
      </w:r>
      <w:r w:rsidRPr="00520AC4">
        <w:rPr>
          <w:rFonts w:ascii="Calibri" w:hAnsi="Calibri" w:cs="Calibri"/>
          <w:color w:val="auto"/>
          <w:sz w:val="22"/>
          <w:szCs w:val="22"/>
        </w:rPr>
        <w:t xml:space="preserve">e fully agree that the Option 1 is not feasible as it might not be </w:t>
      </w:r>
      <w:r w:rsidR="0024724B">
        <w:rPr>
          <w:rFonts w:ascii="Calibri" w:hAnsi="Calibri" w:cs="Calibri"/>
          <w:color w:val="auto"/>
          <w:sz w:val="22"/>
          <w:szCs w:val="22"/>
        </w:rPr>
        <w:t>a practicable solution. We </w:t>
      </w:r>
      <w:r w:rsidRPr="00520AC4">
        <w:rPr>
          <w:rFonts w:ascii="Calibri" w:hAnsi="Calibri" w:cs="Calibri"/>
          <w:color w:val="auto"/>
          <w:sz w:val="22"/>
          <w:szCs w:val="22"/>
        </w:rPr>
        <w:t>strongly agree that the Option 2 is an efficient way to specify the method of determining delta.</w:t>
      </w:r>
    </w:p>
    <w:p w:rsidR="00E82DF5" w:rsidRPr="00DF732A" w:rsidRDefault="00C53DF7" w:rsidP="00054F1B">
      <w:pPr>
        <w:pStyle w:val="Default"/>
        <w:spacing w:after="180"/>
        <w:jc w:val="both"/>
        <w:rPr>
          <w:rFonts w:ascii="Calibri" w:hAnsi="Calibri" w:cs="Calibri"/>
          <w:color w:val="auto"/>
          <w:sz w:val="22"/>
          <w:szCs w:val="22"/>
        </w:rPr>
      </w:pPr>
      <w:r w:rsidRPr="00DF732A">
        <w:rPr>
          <w:rFonts w:ascii="Calibri" w:hAnsi="Calibri" w:cs="Georgia"/>
          <w:color w:val="auto"/>
          <w:sz w:val="22"/>
          <w:szCs w:val="22"/>
        </w:rPr>
        <w:t>We consider that a principles</w:t>
      </w:r>
      <w:r w:rsidR="00A46421">
        <w:rPr>
          <w:rFonts w:ascii="Calibri" w:hAnsi="Calibri" w:cs="Georgia"/>
          <w:color w:val="auto"/>
          <w:sz w:val="22"/>
          <w:szCs w:val="22"/>
        </w:rPr>
        <w:t>-</w:t>
      </w:r>
      <w:r w:rsidRPr="00DF732A">
        <w:rPr>
          <w:rFonts w:ascii="Calibri" w:hAnsi="Calibri" w:cs="Georgia"/>
          <w:color w:val="auto"/>
          <w:sz w:val="22"/>
          <w:szCs w:val="22"/>
        </w:rPr>
        <w:t xml:space="preserve">based approach will allow </w:t>
      </w:r>
      <w:r w:rsidR="00A46421">
        <w:rPr>
          <w:rFonts w:ascii="Calibri" w:hAnsi="Calibri" w:cs="Georgia"/>
          <w:color w:val="auto"/>
          <w:sz w:val="22"/>
          <w:szCs w:val="22"/>
        </w:rPr>
        <w:t xml:space="preserve">a </w:t>
      </w:r>
      <w:r w:rsidRPr="00DF732A">
        <w:rPr>
          <w:rFonts w:ascii="Calibri" w:hAnsi="Calibri" w:cs="Georgia"/>
          <w:color w:val="auto"/>
          <w:sz w:val="22"/>
          <w:szCs w:val="22"/>
        </w:rPr>
        <w:t>regulated entit</w:t>
      </w:r>
      <w:r w:rsidR="00A46421">
        <w:rPr>
          <w:rFonts w:ascii="Calibri" w:hAnsi="Calibri" w:cs="Georgia"/>
          <w:color w:val="auto"/>
          <w:sz w:val="22"/>
          <w:szCs w:val="22"/>
        </w:rPr>
        <w:t>y</w:t>
      </w:r>
      <w:r w:rsidRPr="00DF732A">
        <w:rPr>
          <w:rFonts w:ascii="Calibri" w:hAnsi="Calibri" w:cs="Georgia"/>
          <w:color w:val="auto"/>
          <w:sz w:val="22"/>
          <w:szCs w:val="22"/>
        </w:rPr>
        <w:t xml:space="preserve"> to use the calculation method which</w:t>
      </w:r>
      <w:r w:rsidR="00A46421">
        <w:rPr>
          <w:rFonts w:ascii="Calibri" w:hAnsi="Calibri" w:cs="Georgia"/>
          <w:color w:val="auto"/>
          <w:sz w:val="22"/>
          <w:szCs w:val="22"/>
        </w:rPr>
        <w:t xml:space="preserve"> it</w:t>
      </w:r>
      <w:r w:rsidRPr="00DF732A">
        <w:rPr>
          <w:rFonts w:ascii="Calibri" w:hAnsi="Calibri" w:cs="Georgia"/>
          <w:color w:val="auto"/>
          <w:sz w:val="22"/>
          <w:szCs w:val="22"/>
        </w:rPr>
        <w:t xml:space="preserve"> has already agreed with its regulator in the contexts of risks and pricing. The </w:t>
      </w:r>
      <w:r w:rsidR="00E82DF5" w:rsidRPr="00DF732A">
        <w:rPr>
          <w:rFonts w:ascii="Calibri" w:hAnsi="Calibri" w:cs="Georgia"/>
          <w:color w:val="auto"/>
          <w:sz w:val="22"/>
          <w:szCs w:val="22"/>
        </w:rPr>
        <w:t>resulting integrity</w:t>
      </w:r>
      <w:r w:rsidRPr="00DF732A">
        <w:rPr>
          <w:rFonts w:ascii="Calibri" w:hAnsi="Calibri" w:cs="Georgia"/>
          <w:color w:val="auto"/>
          <w:sz w:val="22"/>
          <w:szCs w:val="22"/>
        </w:rPr>
        <w:t xml:space="preserve"> of calculation will avoid unnecessary costs and confusion on the part of </w:t>
      </w:r>
      <w:r w:rsidR="00E82DF5" w:rsidRPr="00DF732A">
        <w:rPr>
          <w:rFonts w:ascii="Calibri" w:hAnsi="Calibri" w:cs="Georgia"/>
          <w:color w:val="auto"/>
          <w:sz w:val="22"/>
          <w:szCs w:val="22"/>
        </w:rPr>
        <w:t>disclosers and</w:t>
      </w:r>
      <w:r w:rsidRPr="00DF732A">
        <w:rPr>
          <w:rFonts w:ascii="Calibri" w:hAnsi="Calibri" w:cs="Georgia"/>
          <w:color w:val="auto"/>
          <w:sz w:val="22"/>
          <w:szCs w:val="22"/>
        </w:rPr>
        <w:t xml:space="preserve"> regulators. Regulators will be able to assess the usefulness of the principles-based calculation on an ongoing basis.</w:t>
      </w:r>
    </w:p>
    <w:p w:rsidR="00F065E1" w:rsidRPr="00DF732A" w:rsidRDefault="00F065E1" w:rsidP="00054F1B">
      <w:pPr>
        <w:pStyle w:val="Default"/>
        <w:spacing w:after="180"/>
        <w:jc w:val="both"/>
        <w:rPr>
          <w:rFonts w:ascii="Calibri" w:hAnsi="Calibri" w:cs="Georgia"/>
          <w:b/>
          <w:bCs/>
          <w:i/>
          <w:sz w:val="22"/>
          <w:szCs w:val="22"/>
          <w:lang w:eastAsia="en-GB"/>
        </w:rPr>
      </w:pPr>
      <w:r w:rsidRPr="00DF732A">
        <w:rPr>
          <w:rFonts w:ascii="Calibri" w:hAnsi="Calibri" w:cs="Georgia"/>
          <w:b/>
          <w:bCs/>
          <w:i/>
          <w:sz w:val="22"/>
          <w:szCs w:val="22"/>
          <w:lang w:eastAsia="en-GB"/>
        </w:rPr>
        <w:t xml:space="preserve">Q14: Do you agree with the proposed concept of </w:t>
      </w:r>
      <w:r w:rsidR="00054F1B">
        <w:rPr>
          <w:rFonts w:ascii="Calibri" w:hAnsi="Calibri" w:cs="Georgia"/>
          <w:b/>
          <w:bCs/>
          <w:i/>
          <w:sz w:val="22"/>
          <w:szCs w:val="22"/>
          <w:lang w:eastAsia="en-GB"/>
        </w:rPr>
        <w:t>"</w:t>
      </w:r>
      <w:r w:rsidRPr="00DF732A">
        <w:rPr>
          <w:rFonts w:ascii="Calibri" w:hAnsi="Calibri" w:cs="Georgia"/>
          <w:b/>
          <w:bCs/>
          <w:i/>
          <w:sz w:val="22"/>
          <w:szCs w:val="22"/>
          <w:lang w:eastAsia="en-GB"/>
        </w:rPr>
        <w:t>generally accepted standard pricing model</w:t>
      </w:r>
      <w:r w:rsidR="00054F1B">
        <w:rPr>
          <w:rFonts w:ascii="Calibri" w:hAnsi="Calibri" w:cs="Georgia"/>
          <w:b/>
          <w:bCs/>
          <w:i/>
          <w:sz w:val="22"/>
          <w:szCs w:val="22"/>
          <w:lang w:eastAsia="en-GB"/>
        </w:rPr>
        <w:t>"</w:t>
      </w:r>
      <w:r w:rsidRPr="00DF732A">
        <w:rPr>
          <w:rFonts w:ascii="Calibri" w:hAnsi="Calibri" w:cs="Georgia"/>
          <w:b/>
          <w:bCs/>
          <w:i/>
          <w:sz w:val="22"/>
          <w:szCs w:val="22"/>
          <w:lang w:eastAsia="en-GB"/>
        </w:rPr>
        <w:t xml:space="preserve">? </w:t>
      </w:r>
    </w:p>
    <w:p w:rsidR="00F065E1" w:rsidRPr="00E931F4" w:rsidRDefault="00C53DF7" w:rsidP="00054F1B">
      <w:pPr>
        <w:autoSpaceDE w:val="0"/>
        <w:autoSpaceDN w:val="0"/>
        <w:adjustRightInd w:val="0"/>
        <w:spacing w:after="180" w:line="240" w:lineRule="auto"/>
        <w:jc w:val="both"/>
        <w:rPr>
          <w:rFonts w:cs="Calibri"/>
        </w:rPr>
      </w:pPr>
      <w:r w:rsidRPr="00E931F4">
        <w:rPr>
          <w:rFonts w:cs="Georgia"/>
        </w:rPr>
        <w:t>Yes</w:t>
      </w:r>
      <w:r w:rsidRPr="00A46421">
        <w:rPr>
          <w:rFonts w:cs="Georgia"/>
        </w:rPr>
        <w:t xml:space="preserve">. </w:t>
      </w:r>
      <w:r w:rsidR="00E82DF5" w:rsidRPr="00A46421">
        <w:rPr>
          <w:rFonts w:cs="Georgia"/>
        </w:rPr>
        <w:t xml:space="preserve"> </w:t>
      </w:r>
      <w:r w:rsidR="00F065E1" w:rsidRPr="00A46421">
        <w:rPr>
          <w:rFonts w:cs="Calibri"/>
        </w:rPr>
        <w:t>In general we very strongly support the principle</w:t>
      </w:r>
      <w:r w:rsidR="00A46421">
        <w:rPr>
          <w:rFonts w:cs="Calibri"/>
        </w:rPr>
        <w:t>s-</w:t>
      </w:r>
      <w:r w:rsidR="00F065E1" w:rsidRPr="00A46421">
        <w:rPr>
          <w:rFonts w:cs="Calibri"/>
        </w:rPr>
        <w:t xml:space="preserve">based approach and </w:t>
      </w:r>
      <w:r w:rsidR="006270A9" w:rsidRPr="00A46421">
        <w:rPr>
          <w:rFonts w:cs="Calibri"/>
        </w:rPr>
        <w:t xml:space="preserve">the requirement to use a </w:t>
      </w:r>
      <w:r w:rsidR="00F065E1" w:rsidRPr="00A46421">
        <w:rPr>
          <w:rFonts w:cs="Calibri"/>
        </w:rPr>
        <w:t>generally accepted standard pricing model</w:t>
      </w:r>
      <w:r w:rsidR="006270A9" w:rsidRPr="00A46421">
        <w:rPr>
          <w:rFonts w:cs="Calibri"/>
        </w:rPr>
        <w:t xml:space="preserve"> (e</w:t>
      </w:r>
      <w:r w:rsidR="008F47B4">
        <w:rPr>
          <w:rFonts w:cs="Calibri"/>
        </w:rPr>
        <w:t>.</w:t>
      </w:r>
      <w:r w:rsidR="006270A9" w:rsidRPr="00A46421">
        <w:rPr>
          <w:rFonts w:cs="Calibri"/>
        </w:rPr>
        <w:t>g</w:t>
      </w:r>
      <w:r w:rsidR="008F47B4">
        <w:rPr>
          <w:rFonts w:cs="Calibri"/>
        </w:rPr>
        <w:t>.</w:t>
      </w:r>
      <w:r w:rsidR="006270A9" w:rsidRPr="00A46421">
        <w:rPr>
          <w:rFonts w:cs="Calibri"/>
        </w:rPr>
        <w:t xml:space="preserve"> Black-</w:t>
      </w:r>
      <w:proofErr w:type="spellStart"/>
      <w:r w:rsidR="006270A9" w:rsidRPr="00A46421">
        <w:rPr>
          <w:rFonts w:cs="Calibri"/>
        </w:rPr>
        <w:t>Scholes</w:t>
      </w:r>
      <w:proofErr w:type="spellEnd"/>
      <w:r w:rsidR="006270A9" w:rsidRPr="00A46421">
        <w:rPr>
          <w:rFonts w:cs="Calibri"/>
        </w:rPr>
        <w:t>)</w:t>
      </w:r>
      <w:r w:rsidR="00F065E1" w:rsidRPr="00A46421">
        <w:rPr>
          <w:rFonts w:cs="Calibri"/>
        </w:rPr>
        <w:t xml:space="preserve">. </w:t>
      </w:r>
      <w:r w:rsidR="00393CDC" w:rsidRPr="00A46421">
        <w:rPr>
          <w:rFonts w:cs="Calibri"/>
        </w:rPr>
        <w:t xml:space="preserve">This would ensure meaningful information across the EU for the </w:t>
      </w:r>
      <w:r w:rsidR="00A46421">
        <w:rPr>
          <w:rFonts w:cs="Calibri"/>
        </w:rPr>
        <w:t>sake</w:t>
      </w:r>
      <w:r w:rsidR="00A46421" w:rsidRPr="00A46421">
        <w:rPr>
          <w:rFonts w:cs="Calibri"/>
        </w:rPr>
        <w:t xml:space="preserve"> </w:t>
      </w:r>
      <w:r w:rsidR="00393CDC" w:rsidRPr="00A46421">
        <w:rPr>
          <w:rFonts w:cs="Calibri"/>
        </w:rPr>
        <w:t>of appropriate transparency for regulators and market participants. It would ensure that firms and their clients are able to report appropriately.</w:t>
      </w:r>
    </w:p>
    <w:p w:rsidR="007166E7" w:rsidRPr="00786A4E" w:rsidRDefault="008B1249" w:rsidP="0024724B">
      <w:pPr>
        <w:pStyle w:val="Default"/>
        <w:keepNext/>
        <w:spacing w:after="180"/>
        <w:jc w:val="both"/>
        <w:rPr>
          <w:rFonts w:ascii="Calibri" w:hAnsi="Calibri" w:cs="Georgia"/>
          <w:b/>
          <w:bCs/>
          <w:i/>
          <w:color w:val="7030A0"/>
          <w:sz w:val="28"/>
          <w:szCs w:val="28"/>
          <w:lang w:eastAsia="en-GB"/>
        </w:rPr>
      </w:pPr>
      <w:r w:rsidRPr="00786A4E">
        <w:rPr>
          <w:rFonts w:ascii="Calibri" w:hAnsi="Calibri" w:cs="Georgia"/>
          <w:b/>
          <w:bCs/>
          <w:i/>
          <w:color w:val="7030A0"/>
          <w:sz w:val="28"/>
          <w:szCs w:val="28"/>
          <w:lang w:eastAsia="en-GB"/>
        </w:rPr>
        <w:t>D</w:t>
      </w:r>
      <w:r w:rsidR="007166E7" w:rsidRPr="00786A4E">
        <w:rPr>
          <w:rFonts w:ascii="Calibri" w:hAnsi="Calibri" w:cs="Georgia"/>
          <w:b/>
          <w:bCs/>
          <w:i/>
          <w:color w:val="7030A0"/>
          <w:sz w:val="28"/>
          <w:szCs w:val="28"/>
          <w:lang w:eastAsia="en-GB"/>
        </w:rPr>
        <w:t>raft regulatory technical standard on client-serving transactions</w:t>
      </w:r>
    </w:p>
    <w:p w:rsidR="007166E7" w:rsidRPr="00DF732A" w:rsidRDefault="007166E7" w:rsidP="00054F1B">
      <w:pPr>
        <w:pStyle w:val="Default"/>
        <w:spacing w:after="180"/>
        <w:jc w:val="both"/>
        <w:rPr>
          <w:rFonts w:ascii="Calibri" w:hAnsi="Calibri" w:cs="Georgia"/>
          <w:b/>
          <w:bCs/>
          <w:i/>
          <w:sz w:val="22"/>
          <w:szCs w:val="22"/>
          <w:lang w:eastAsia="en-GB"/>
        </w:rPr>
      </w:pPr>
      <w:r w:rsidRPr="00DF732A">
        <w:rPr>
          <w:rFonts w:ascii="Calibri" w:hAnsi="Calibri" w:cs="Georgia"/>
          <w:b/>
          <w:bCs/>
          <w:i/>
          <w:sz w:val="22"/>
          <w:szCs w:val="22"/>
          <w:lang w:eastAsia="en-GB"/>
        </w:rPr>
        <w:t>Q15: Are these three types of client serving exemptions all appropriate in terms of avoiding excessive or meaningless disclosures to the market? Please provide quantitative evidence on the additional costs borne by financial intermediaries should any of these ex-</w:t>
      </w:r>
      <w:proofErr w:type="spellStart"/>
      <w:r w:rsidRPr="00DF732A">
        <w:rPr>
          <w:rFonts w:ascii="Calibri" w:hAnsi="Calibri" w:cs="Georgia"/>
          <w:b/>
          <w:bCs/>
          <w:i/>
          <w:sz w:val="22"/>
          <w:szCs w:val="22"/>
          <w:lang w:eastAsia="en-GB"/>
        </w:rPr>
        <w:t>emptions</w:t>
      </w:r>
      <w:proofErr w:type="spellEnd"/>
      <w:r w:rsidRPr="00DF732A">
        <w:rPr>
          <w:rFonts w:ascii="Calibri" w:hAnsi="Calibri" w:cs="Georgia"/>
          <w:b/>
          <w:bCs/>
          <w:i/>
          <w:sz w:val="22"/>
          <w:szCs w:val="22"/>
          <w:lang w:eastAsia="en-GB"/>
        </w:rPr>
        <w:t xml:space="preserve"> not be adopted.</w:t>
      </w:r>
    </w:p>
    <w:p w:rsidR="00E82DF5" w:rsidRPr="00DF732A" w:rsidRDefault="00C53DF7" w:rsidP="00054F1B">
      <w:pPr>
        <w:autoSpaceDE w:val="0"/>
        <w:autoSpaceDN w:val="0"/>
        <w:adjustRightInd w:val="0"/>
        <w:spacing w:after="180" w:line="240" w:lineRule="auto"/>
        <w:jc w:val="both"/>
        <w:rPr>
          <w:rFonts w:cs="Georgia"/>
        </w:rPr>
      </w:pPr>
      <w:r w:rsidRPr="00DF732A">
        <w:rPr>
          <w:rFonts w:cs="Georgia"/>
        </w:rPr>
        <w:t>Yes</w:t>
      </w:r>
      <w:r w:rsidR="0039258A">
        <w:rPr>
          <w:rFonts w:cs="Georgia"/>
        </w:rPr>
        <w:t>.</w:t>
      </w:r>
    </w:p>
    <w:p w:rsidR="00C53DF7" w:rsidRPr="00DF732A" w:rsidRDefault="00E82DF5" w:rsidP="00054F1B">
      <w:pPr>
        <w:autoSpaceDE w:val="0"/>
        <w:autoSpaceDN w:val="0"/>
        <w:adjustRightInd w:val="0"/>
        <w:spacing w:after="180" w:line="240" w:lineRule="auto"/>
        <w:jc w:val="both"/>
        <w:rPr>
          <w:rFonts w:cs="Georgia"/>
        </w:rPr>
      </w:pPr>
      <w:r w:rsidRPr="00DF732A">
        <w:rPr>
          <w:rFonts w:cs="Georgia"/>
        </w:rPr>
        <w:t>T</w:t>
      </w:r>
      <w:r w:rsidR="00C53DF7" w:rsidRPr="00DF732A">
        <w:rPr>
          <w:rFonts w:cs="Georgia"/>
        </w:rPr>
        <w:t xml:space="preserve">he examples are appropriate, but some clarification is necessary regarding the use of the word </w:t>
      </w:r>
      <w:r w:rsidR="00054F1B">
        <w:rPr>
          <w:rFonts w:cs="Georgia"/>
        </w:rPr>
        <w:t>"</w:t>
      </w:r>
      <w:r w:rsidR="00C53DF7" w:rsidRPr="00DF732A">
        <w:rPr>
          <w:rFonts w:cs="Georgia"/>
        </w:rPr>
        <w:t>proprietary</w:t>
      </w:r>
      <w:r w:rsidR="00054F1B">
        <w:rPr>
          <w:rFonts w:cs="Georgia"/>
        </w:rPr>
        <w:t>"</w:t>
      </w:r>
      <w:r w:rsidR="00C53DF7" w:rsidRPr="00DF732A">
        <w:rPr>
          <w:rFonts w:cs="Georgia"/>
        </w:rPr>
        <w:t xml:space="preserve">.  The phrase </w:t>
      </w:r>
      <w:r w:rsidR="00054F1B">
        <w:rPr>
          <w:rFonts w:cs="Georgia"/>
        </w:rPr>
        <w:t>"</w:t>
      </w:r>
      <w:r w:rsidR="00C53DF7" w:rsidRPr="00DF732A">
        <w:rPr>
          <w:rFonts w:cs="Georgia"/>
        </w:rPr>
        <w:t>otherwise than on a proprietary basis</w:t>
      </w:r>
      <w:r w:rsidR="00054F1B">
        <w:rPr>
          <w:rFonts w:cs="Georgia"/>
        </w:rPr>
        <w:t>"</w:t>
      </w:r>
      <w:r w:rsidR="00C53DF7" w:rsidRPr="00DF732A">
        <w:rPr>
          <w:rFonts w:cs="Georgia"/>
        </w:rPr>
        <w:t xml:space="preserve"> should be clarified to </w:t>
      </w:r>
      <w:proofErr w:type="gramStart"/>
      <w:r w:rsidR="00C53DF7" w:rsidRPr="00DF732A">
        <w:rPr>
          <w:rFonts w:cs="Georgia"/>
        </w:rPr>
        <w:t xml:space="preserve">mean  </w:t>
      </w:r>
      <w:r w:rsidR="00054F1B">
        <w:rPr>
          <w:rFonts w:cs="Georgia"/>
        </w:rPr>
        <w:t>"</w:t>
      </w:r>
      <w:proofErr w:type="gramEnd"/>
      <w:r w:rsidR="00C53DF7" w:rsidRPr="00DF732A">
        <w:rPr>
          <w:rFonts w:cs="Georgia"/>
        </w:rPr>
        <w:t>otherwise than for the</w:t>
      </w:r>
      <w:r w:rsidR="0039258A">
        <w:rPr>
          <w:rFonts w:cs="Georgia"/>
        </w:rPr>
        <w:t xml:space="preserve"> client-serving entity</w:t>
      </w:r>
      <w:r w:rsidR="00054F1B">
        <w:rPr>
          <w:rFonts w:cs="Georgia"/>
        </w:rPr>
        <w:t>'</w:t>
      </w:r>
      <w:r w:rsidR="0039258A">
        <w:rPr>
          <w:rFonts w:cs="Georgia"/>
        </w:rPr>
        <w:t>s</w:t>
      </w:r>
      <w:r w:rsidR="00C53DF7" w:rsidRPr="00DF732A">
        <w:rPr>
          <w:rFonts w:cs="Georgia"/>
        </w:rPr>
        <w:t xml:space="preserve"> own investment purposes</w:t>
      </w:r>
      <w:r w:rsidR="00054F1B">
        <w:rPr>
          <w:rFonts w:cs="Georgia"/>
        </w:rPr>
        <w:t>"</w:t>
      </w:r>
      <w:r w:rsidR="00C53DF7" w:rsidRPr="00DF732A">
        <w:rPr>
          <w:rFonts w:cs="Georgia"/>
        </w:rPr>
        <w:t>.  In other words</w:t>
      </w:r>
      <w:r w:rsidR="00A46421">
        <w:rPr>
          <w:rFonts w:cs="Georgia"/>
        </w:rPr>
        <w:t>,</w:t>
      </w:r>
      <w:r w:rsidR="00C53DF7" w:rsidRPr="00DF732A">
        <w:rPr>
          <w:rFonts w:cs="Georgia"/>
        </w:rPr>
        <w:t xml:space="preserve"> such transactions are not initiated by the regulated firm as an investment of own funds for its own profit</w:t>
      </w:r>
      <w:r w:rsidR="00E043CD">
        <w:rPr>
          <w:rFonts w:cs="Georgia"/>
        </w:rPr>
        <w:t xml:space="preserve">, even if the </w:t>
      </w:r>
      <w:proofErr w:type="gramStart"/>
      <w:r w:rsidR="00E043CD">
        <w:rPr>
          <w:rFonts w:cs="Georgia"/>
        </w:rPr>
        <w:t>firm  enters</w:t>
      </w:r>
      <w:proofErr w:type="gramEnd"/>
      <w:r w:rsidR="00E043CD">
        <w:rPr>
          <w:rFonts w:cs="Georgia"/>
        </w:rPr>
        <w:t xml:space="preserve"> into the relevant transaction as principal</w:t>
      </w:r>
      <w:r w:rsidR="00C53DF7" w:rsidRPr="00DF732A">
        <w:rPr>
          <w:rFonts w:cs="Georgia"/>
        </w:rPr>
        <w:t>.</w:t>
      </w:r>
    </w:p>
    <w:p w:rsidR="007166E7" w:rsidRPr="00DF732A" w:rsidRDefault="007166E7" w:rsidP="00054F1B">
      <w:pPr>
        <w:pStyle w:val="Default"/>
        <w:spacing w:after="180"/>
        <w:jc w:val="both"/>
        <w:rPr>
          <w:rFonts w:ascii="Calibri" w:hAnsi="Calibri" w:cs="Georgia"/>
          <w:b/>
          <w:bCs/>
          <w:i/>
          <w:color w:val="auto"/>
          <w:sz w:val="22"/>
          <w:szCs w:val="22"/>
          <w:lang w:eastAsia="en-GB"/>
        </w:rPr>
      </w:pPr>
      <w:r w:rsidRPr="00DF732A">
        <w:rPr>
          <w:rFonts w:ascii="Calibri" w:hAnsi="Calibri" w:cs="Georgia"/>
          <w:b/>
          <w:bCs/>
          <w:i/>
          <w:color w:val="auto"/>
          <w:sz w:val="22"/>
          <w:szCs w:val="22"/>
          <w:lang w:eastAsia="en-GB"/>
        </w:rPr>
        <w:t>Q16: Can these three types of client-serving exemption allow for a potential risk of circumvention of major shareholdings</w:t>
      </w:r>
      <w:r w:rsidR="00054F1B">
        <w:rPr>
          <w:rFonts w:ascii="Calibri" w:hAnsi="Calibri" w:cs="Georgia"/>
          <w:b/>
          <w:bCs/>
          <w:i/>
          <w:color w:val="auto"/>
          <w:sz w:val="22"/>
          <w:szCs w:val="22"/>
          <w:lang w:eastAsia="en-GB"/>
        </w:rPr>
        <w:t>'</w:t>
      </w:r>
      <w:r w:rsidRPr="00DF732A">
        <w:rPr>
          <w:rFonts w:ascii="Calibri" w:hAnsi="Calibri" w:cs="Georgia"/>
          <w:b/>
          <w:bCs/>
          <w:i/>
          <w:color w:val="auto"/>
          <w:sz w:val="22"/>
          <w:szCs w:val="22"/>
          <w:lang w:eastAsia="en-GB"/>
        </w:rPr>
        <w:t xml:space="preserve"> disclosure regime?</w:t>
      </w:r>
    </w:p>
    <w:p w:rsidR="00C53DF7" w:rsidRPr="00DF732A" w:rsidRDefault="00C53DF7" w:rsidP="00054F1B">
      <w:pPr>
        <w:autoSpaceDE w:val="0"/>
        <w:autoSpaceDN w:val="0"/>
        <w:adjustRightInd w:val="0"/>
        <w:spacing w:after="180" w:line="240" w:lineRule="auto"/>
        <w:jc w:val="both"/>
        <w:rPr>
          <w:rFonts w:cs="Georgia"/>
        </w:rPr>
      </w:pPr>
      <w:r w:rsidRPr="00DF732A">
        <w:rPr>
          <w:rFonts w:cs="Georgia"/>
        </w:rPr>
        <w:t xml:space="preserve">In our view the </w:t>
      </w:r>
      <w:r w:rsidR="00836651">
        <w:rPr>
          <w:rFonts w:cs="Georgia"/>
        </w:rPr>
        <w:t xml:space="preserve">potential </w:t>
      </w:r>
      <w:r w:rsidRPr="00DF732A">
        <w:rPr>
          <w:rFonts w:cs="Georgia"/>
        </w:rPr>
        <w:t>risk of circumvention</w:t>
      </w:r>
      <w:r w:rsidR="00836651">
        <w:rPr>
          <w:rFonts w:cs="Georgia"/>
        </w:rPr>
        <w:t>, whether</w:t>
      </w:r>
      <w:r w:rsidRPr="00DF732A">
        <w:rPr>
          <w:rFonts w:cs="Georgia"/>
        </w:rPr>
        <w:t xml:space="preserve"> for purposes of control</w:t>
      </w:r>
      <w:r w:rsidR="00836651">
        <w:rPr>
          <w:rFonts w:cs="Georgia"/>
        </w:rPr>
        <w:t>ling</w:t>
      </w:r>
      <w:r w:rsidRPr="00DF732A">
        <w:rPr>
          <w:rFonts w:cs="Georgia"/>
        </w:rPr>
        <w:t xml:space="preserve"> or influencing a</w:t>
      </w:r>
      <w:r w:rsidR="00836651">
        <w:rPr>
          <w:rFonts w:cs="Georgia"/>
        </w:rPr>
        <w:t>n issuer</w:t>
      </w:r>
      <w:r w:rsidR="00054F1B">
        <w:rPr>
          <w:rFonts w:cs="Georgia"/>
        </w:rPr>
        <w:t>'</w:t>
      </w:r>
      <w:r w:rsidR="00836651">
        <w:rPr>
          <w:rFonts w:cs="Georgia"/>
        </w:rPr>
        <w:t>s</w:t>
      </w:r>
      <w:r w:rsidRPr="00DF732A">
        <w:rPr>
          <w:rFonts w:cs="Georgia"/>
        </w:rPr>
        <w:t xml:space="preserve"> board</w:t>
      </w:r>
      <w:r w:rsidR="00836651">
        <w:rPr>
          <w:rFonts w:cs="Georgia"/>
        </w:rPr>
        <w:t xml:space="preserve"> or </w:t>
      </w:r>
      <w:r w:rsidR="0039258A">
        <w:rPr>
          <w:rFonts w:cs="Georgia"/>
        </w:rPr>
        <w:t xml:space="preserve">a </w:t>
      </w:r>
      <w:r w:rsidR="00836651">
        <w:rPr>
          <w:rFonts w:cs="Georgia"/>
        </w:rPr>
        <w:t>shareholder vote or for any other reason,</w:t>
      </w:r>
      <w:r w:rsidRPr="00DF732A">
        <w:rPr>
          <w:rFonts w:cs="Georgia"/>
        </w:rPr>
        <w:t xml:space="preserve"> </w:t>
      </w:r>
      <w:r w:rsidR="00836651">
        <w:rPr>
          <w:rFonts w:cs="Georgia"/>
        </w:rPr>
        <w:t>would be</w:t>
      </w:r>
      <w:r w:rsidRPr="00DF732A">
        <w:rPr>
          <w:rFonts w:cs="Georgia"/>
        </w:rPr>
        <w:t xml:space="preserve"> minimal, since such</w:t>
      </w:r>
      <w:r w:rsidR="00836651">
        <w:rPr>
          <w:rFonts w:cs="Georgia"/>
        </w:rPr>
        <w:t xml:space="preserve"> risk would be</w:t>
      </w:r>
      <w:r w:rsidRPr="00DF732A">
        <w:rPr>
          <w:rFonts w:cs="Georgia"/>
        </w:rPr>
        <w:t xml:space="preserve"> largely offset by </w:t>
      </w:r>
      <w:r w:rsidR="0004424B">
        <w:rPr>
          <w:rFonts w:cs="Georgia"/>
        </w:rPr>
        <w:t xml:space="preserve">the disincentive of </w:t>
      </w:r>
      <w:r w:rsidRPr="00DF732A">
        <w:rPr>
          <w:rFonts w:cs="Georgia"/>
        </w:rPr>
        <w:t>countervailing risks to the investor and/or intermediary</w:t>
      </w:r>
      <w:r w:rsidR="00836651">
        <w:rPr>
          <w:rFonts w:cs="Georgia"/>
        </w:rPr>
        <w:t xml:space="preserve">, including in particular the economic risk of an </w:t>
      </w:r>
      <w:proofErr w:type="spellStart"/>
      <w:r w:rsidR="00836651">
        <w:rPr>
          <w:rFonts w:cs="Georgia"/>
        </w:rPr>
        <w:t>unhedged</w:t>
      </w:r>
      <w:proofErr w:type="spellEnd"/>
      <w:r w:rsidR="00836651">
        <w:rPr>
          <w:rFonts w:cs="Georgia"/>
        </w:rPr>
        <w:t xml:space="preserve"> short position (mentioned in </w:t>
      </w:r>
      <w:proofErr w:type="spellStart"/>
      <w:r w:rsidR="00836651">
        <w:rPr>
          <w:rFonts w:cs="Georgia"/>
        </w:rPr>
        <w:t>para</w:t>
      </w:r>
      <w:proofErr w:type="spellEnd"/>
      <w:r w:rsidR="00836651">
        <w:rPr>
          <w:rFonts w:cs="Georgia"/>
        </w:rPr>
        <w:t xml:space="preserve">. 118) </w:t>
      </w:r>
      <w:r w:rsidR="00936FB7">
        <w:rPr>
          <w:rFonts w:cs="Georgia"/>
        </w:rPr>
        <w:t>and the regime prohibiting market abuse</w:t>
      </w:r>
      <w:r w:rsidR="0004424B">
        <w:rPr>
          <w:rFonts w:cs="Georgia"/>
        </w:rPr>
        <w:t xml:space="preserve">.  We agree with </w:t>
      </w:r>
      <w:r w:rsidR="00936FB7">
        <w:rPr>
          <w:rFonts w:cs="Georgia"/>
        </w:rPr>
        <w:t xml:space="preserve">the conclusion reached in </w:t>
      </w:r>
      <w:proofErr w:type="spellStart"/>
      <w:r w:rsidR="00936FB7">
        <w:rPr>
          <w:rFonts w:cs="Georgia"/>
        </w:rPr>
        <w:t>para</w:t>
      </w:r>
      <w:proofErr w:type="spellEnd"/>
      <w:r w:rsidR="00936FB7">
        <w:rPr>
          <w:rFonts w:cs="Georgia"/>
        </w:rPr>
        <w:t>. 121, i.e. that it i</w:t>
      </w:r>
      <w:r w:rsidR="0004424B">
        <w:rPr>
          <w:rFonts w:cs="Georgia"/>
        </w:rPr>
        <w:t>s highly unlikely that a financial intermediary would enter into such trans</w:t>
      </w:r>
      <w:r w:rsidR="00936FB7">
        <w:rPr>
          <w:rFonts w:cs="Georgia"/>
        </w:rPr>
        <w:t>actions to avoid disclosure given the possible costs and risks</w:t>
      </w:r>
      <w:r w:rsidRPr="00DF732A">
        <w:rPr>
          <w:rFonts w:cs="Georgia"/>
        </w:rPr>
        <w:t xml:space="preserve">. </w:t>
      </w:r>
    </w:p>
    <w:p w:rsidR="007166E7" w:rsidRPr="00DF732A" w:rsidRDefault="007166E7" w:rsidP="00054F1B">
      <w:pPr>
        <w:pStyle w:val="Default"/>
        <w:spacing w:after="180"/>
        <w:jc w:val="both"/>
        <w:rPr>
          <w:rFonts w:ascii="Calibri" w:hAnsi="Calibri" w:cs="Georgia"/>
          <w:b/>
          <w:bCs/>
          <w:i/>
          <w:color w:val="auto"/>
          <w:sz w:val="22"/>
          <w:szCs w:val="22"/>
          <w:lang w:eastAsia="en-GB"/>
        </w:rPr>
      </w:pPr>
      <w:r w:rsidRPr="00DF732A">
        <w:rPr>
          <w:rFonts w:ascii="Calibri" w:hAnsi="Calibri" w:cs="Georgia"/>
          <w:b/>
          <w:bCs/>
          <w:i/>
          <w:color w:val="auto"/>
          <w:sz w:val="22"/>
          <w:szCs w:val="22"/>
          <w:lang w:eastAsia="en-GB"/>
        </w:rPr>
        <w:t>Q17: Do you agree with our analysis that applying the current exemptions can address certain notification requirements for cash-settled financial instruments introduced by Article 13(1</w:t>
      </w:r>
      <w:proofErr w:type="gramStart"/>
      <w:r w:rsidRPr="00DF732A">
        <w:rPr>
          <w:rFonts w:ascii="Calibri" w:hAnsi="Calibri" w:cs="Georgia"/>
          <w:b/>
          <w:bCs/>
          <w:i/>
          <w:color w:val="auto"/>
          <w:sz w:val="22"/>
          <w:szCs w:val="22"/>
          <w:lang w:eastAsia="en-GB"/>
        </w:rPr>
        <w:t>)(</w:t>
      </w:r>
      <w:proofErr w:type="gramEnd"/>
      <w:r w:rsidRPr="00DF732A">
        <w:rPr>
          <w:rFonts w:ascii="Calibri" w:hAnsi="Calibri" w:cs="Georgia"/>
          <w:b/>
          <w:bCs/>
          <w:i/>
          <w:color w:val="auto"/>
          <w:sz w:val="22"/>
          <w:szCs w:val="22"/>
          <w:lang w:eastAsia="en-GB"/>
        </w:rPr>
        <w:t>b)?</w:t>
      </w:r>
    </w:p>
    <w:p w:rsidR="00C53DF7" w:rsidRDefault="00C53DF7" w:rsidP="00054F1B">
      <w:pPr>
        <w:autoSpaceDE w:val="0"/>
        <w:autoSpaceDN w:val="0"/>
        <w:adjustRightInd w:val="0"/>
        <w:spacing w:after="180" w:line="240" w:lineRule="auto"/>
        <w:jc w:val="both"/>
        <w:rPr>
          <w:rFonts w:cs="Georgia"/>
        </w:rPr>
      </w:pPr>
      <w:r w:rsidRPr="00DF732A">
        <w:rPr>
          <w:rFonts w:cs="Georgia"/>
        </w:rPr>
        <w:t>We agree with your conclusion that the current exemptions can address certain</w:t>
      </w:r>
      <w:r w:rsidR="00873786">
        <w:rPr>
          <w:rFonts w:cs="Georgia"/>
        </w:rPr>
        <w:t xml:space="preserve"> of the</w:t>
      </w:r>
      <w:r w:rsidRPr="00DF732A">
        <w:rPr>
          <w:rFonts w:cs="Georgia"/>
        </w:rPr>
        <w:t xml:space="preserve"> notification requirements for cash-settled instruments </w:t>
      </w:r>
      <w:r w:rsidR="008B1249" w:rsidRPr="00DF732A">
        <w:rPr>
          <w:rFonts w:cs="Georgia"/>
        </w:rPr>
        <w:t>introduced by</w:t>
      </w:r>
      <w:r w:rsidR="00A323CA">
        <w:rPr>
          <w:rFonts w:cs="Georgia"/>
        </w:rPr>
        <w:t xml:space="preserve"> Article 13(1</w:t>
      </w:r>
      <w:proofErr w:type="gramStart"/>
      <w:r w:rsidR="00A323CA">
        <w:rPr>
          <w:rFonts w:cs="Georgia"/>
        </w:rPr>
        <w:t>)(</w:t>
      </w:r>
      <w:proofErr w:type="gramEnd"/>
      <w:r w:rsidR="00A323CA">
        <w:rPr>
          <w:rFonts w:cs="Georgia"/>
        </w:rPr>
        <w:t>b)</w:t>
      </w:r>
      <w:r w:rsidR="00873786">
        <w:rPr>
          <w:rFonts w:cs="Georgia"/>
        </w:rPr>
        <w:t>.  Please see response to Q18 below in relation to further relevant scenarios.</w:t>
      </w:r>
    </w:p>
    <w:p w:rsidR="00936FB7" w:rsidRPr="00DF732A" w:rsidRDefault="00936FB7" w:rsidP="00054F1B">
      <w:pPr>
        <w:autoSpaceDE w:val="0"/>
        <w:autoSpaceDN w:val="0"/>
        <w:adjustRightInd w:val="0"/>
        <w:spacing w:after="180" w:line="240" w:lineRule="auto"/>
        <w:jc w:val="both"/>
        <w:rPr>
          <w:rFonts w:cs="Georgia"/>
        </w:rPr>
      </w:pPr>
      <w:r w:rsidRPr="00936FB7">
        <w:rPr>
          <w:rFonts w:cs="Georgia"/>
        </w:rPr>
        <w:lastRenderedPageBreak/>
        <w:t xml:space="preserve">We believe that </w:t>
      </w:r>
      <w:r w:rsidR="00120077">
        <w:rPr>
          <w:rFonts w:cs="Georgia"/>
        </w:rPr>
        <w:t>the</w:t>
      </w:r>
      <w:r w:rsidR="00120077" w:rsidRPr="00936FB7">
        <w:rPr>
          <w:rFonts w:cs="Georgia"/>
        </w:rPr>
        <w:t xml:space="preserve"> </w:t>
      </w:r>
      <w:r w:rsidRPr="00936FB7">
        <w:rPr>
          <w:rFonts w:cs="Georgia"/>
        </w:rPr>
        <w:t xml:space="preserve">transactions </w:t>
      </w:r>
      <w:r>
        <w:rPr>
          <w:rFonts w:cs="Georgia"/>
        </w:rPr>
        <w:t xml:space="preserve">set out in </w:t>
      </w:r>
      <w:proofErr w:type="spellStart"/>
      <w:r>
        <w:rPr>
          <w:rFonts w:cs="Georgia"/>
        </w:rPr>
        <w:t>para</w:t>
      </w:r>
      <w:r w:rsidRPr="00936FB7">
        <w:rPr>
          <w:rFonts w:cs="Georgia"/>
        </w:rPr>
        <w:t>s</w:t>
      </w:r>
      <w:proofErr w:type="spellEnd"/>
      <w:r>
        <w:rPr>
          <w:rFonts w:cs="Georgia"/>
        </w:rPr>
        <w:t>.</w:t>
      </w:r>
      <w:r w:rsidRPr="00936FB7">
        <w:rPr>
          <w:rFonts w:cs="Georgia"/>
        </w:rPr>
        <w:t xml:space="preserve"> 115 to 117 </w:t>
      </w:r>
      <w:r w:rsidR="00120077" w:rsidRPr="00936FB7">
        <w:rPr>
          <w:rFonts w:cs="Georgia"/>
        </w:rPr>
        <w:t>constitut</w:t>
      </w:r>
      <w:r w:rsidR="00120077">
        <w:rPr>
          <w:rFonts w:cs="Georgia"/>
        </w:rPr>
        <w:t>e</w:t>
      </w:r>
      <w:r w:rsidR="00120077" w:rsidRPr="00936FB7">
        <w:rPr>
          <w:rFonts w:cs="Georgia"/>
        </w:rPr>
        <w:t xml:space="preserve"> </w:t>
      </w:r>
      <w:r w:rsidRPr="00936FB7">
        <w:rPr>
          <w:rFonts w:cs="Georgia"/>
        </w:rPr>
        <w:t xml:space="preserve">market making, although the </w:t>
      </w:r>
      <w:r w:rsidR="00120077">
        <w:rPr>
          <w:rFonts w:cs="Georgia"/>
        </w:rPr>
        <w:t xml:space="preserve">Transparency Directive </w:t>
      </w:r>
      <w:r w:rsidRPr="00936FB7">
        <w:rPr>
          <w:rFonts w:cs="Georgia"/>
        </w:rPr>
        <w:t>market making exemption has not been uniformly implemented across Member States and therefore cannot be relied upon in relation to all transactions which a</w:t>
      </w:r>
      <w:r>
        <w:rPr>
          <w:rFonts w:cs="Georgia"/>
        </w:rPr>
        <w:t>re of a client-serving nature.</w:t>
      </w:r>
    </w:p>
    <w:p w:rsidR="007166E7" w:rsidRPr="00DF732A" w:rsidRDefault="007166E7" w:rsidP="00054F1B">
      <w:pPr>
        <w:pStyle w:val="Default"/>
        <w:spacing w:after="180"/>
        <w:jc w:val="both"/>
        <w:rPr>
          <w:rFonts w:ascii="Calibri" w:hAnsi="Calibri" w:cs="Georgia"/>
          <w:b/>
          <w:bCs/>
          <w:i/>
          <w:color w:val="auto"/>
          <w:sz w:val="22"/>
          <w:szCs w:val="22"/>
          <w:lang w:eastAsia="en-GB"/>
        </w:rPr>
      </w:pPr>
      <w:r w:rsidRPr="00DF732A">
        <w:rPr>
          <w:rFonts w:ascii="Calibri" w:hAnsi="Calibri" w:cs="Georgia"/>
          <w:b/>
          <w:bCs/>
          <w:i/>
          <w:color w:val="auto"/>
          <w:sz w:val="22"/>
          <w:szCs w:val="22"/>
          <w:lang w:eastAsia="en-GB"/>
        </w:rPr>
        <w:t xml:space="preserve">Q18: </w:t>
      </w:r>
      <w:proofErr w:type="gramStart"/>
      <w:r w:rsidRPr="00DF732A">
        <w:rPr>
          <w:rFonts w:ascii="Calibri" w:hAnsi="Calibri" w:cs="Georgia"/>
          <w:b/>
          <w:bCs/>
          <w:i/>
          <w:color w:val="auto"/>
          <w:sz w:val="22"/>
          <w:szCs w:val="22"/>
          <w:lang w:eastAsia="en-GB"/>
        </w:rPr>
        <w:t>In</w:t>
      </w:r>
      <w:proofErr w:type="gramEnd"/>
      <w:r w:rsidRPr="00DF732A">
        <w:rPr>
          <w:rFonts w:ascii="Calibri" w:hAnsi="Calibri" w:cs="Georgia"/>
          <w:b/>
          <w:bCs/>
          <w:i/>
          <w:color w:val="auto"/>
          <w:sz w:val="22"/>
          <w:szCs w:val="22"/>
          <w:lang w:eastAsia="en-GB"/>
        </w:rPr>
        <w:t xml:space="preserve"> your opinion, is the application of current exemptions sufficient to achieve the aim of this provision (i.e. avoiding </w:t>
      </w:r>
      <w:proofErr w:type="spellStart"/>
      <w:r w:rsidRPr="00DF732A">
        <w:rPr>
          <w:rFonts w:ascii="Calibri" w:hAnsi="Calibri" w:cs="Georgia"/>
          <w:b/>
          <w:bCs/>
          <w:i/>
          <w:color w:val="auto"/>
          <w:sz w:val="22"/>
          <w:szCs w:val="22"/>
          <w:lang w:eastAsia="en-GB"/>
        </w:rPr>
        <w:t>unmeaningful</w:t>
      </w:r>
      <w:proofErr w:type="spellEnd"/>
      <w:r w:rsidRPr="00DF732A">
        <w:rPr>
          <w:rFonts w:ascii="Calibri" w:hAnsi="Calibri" w:cs="Georgia"/>
          <w:b/>
          <w:bCs/>
          <w:i/>
          <w:color w:val="auto"/>
          <w:sz w:val="22"/>
          <w:szCs w:val="22"/>
          <w:lang w:eastAsia="en-GB"/>
        </w:rPr>
        <w:t xml:space="preserve"> notifications to the market)?</w:t>
      </w:r>
    </w:p>
    <w:p w:rsidR="0051321B" w:rsidRPr="00E931F4" w:rsidRDefault="00BB7543" w:rsidP="00054F1B">
      <w:pPr>
        <w:autoSpaceDE w:val="0"/>
        <w:autoSpaceDN w:val="0"/>
        <w:spacing w:after="180" w:line="240" w:lineRule="auto"/>
        <w:jc w:val="both"/>
      </w:pPr>
      <w:r>
        <w:t xml:space="preserve">We </w:t>
      </w:r>
      <w:r w:rsidR="00335555">
        <w:t>strongly</w:t>
      </w:r>
      <w:r w:rsidR="0051321B" w:rsidRPr="00E931F4">
        <w:t xml:space="preserve"> believe that the current exemptions </w:t>
      </w:r>
      <w:r w:rsidR="009411B8">
        <w:t>are</w:t>
      </w:r>
      <w:r w:rsidR="009411B8" w:rsidRPr="00E931F4">
        <w:t xml:space="preserve"> </w:t>
      </w:r>
      <w:r w:rsidR="0051321B" w:rsidRPr="00E931F4">
        <w:t xml:space="preserve">not sufficient to achieve the aim of this </w:t>
      </w:r>
      <w:r w:rsidR="001D100E" w:rsidRPr="00E931F4">
        <w:t>provision</w:t>
      </w:r>
      <w:r w:rsidR="00335555">
        <w:t xml:space="preserve"> and</w:t>
      </w:r>
      <w:r w:rsidR="00873786">
        <w:t xml:space="preserve"> that</w:t>
      </w:r>
      <w:r w:rsidR="00873786" w:rsidRPr="00E931F4">
        <w:t xml:space="preserve"> </w:t>
      </w:r>
      <w:r w:rsidR="0051321B" w:rsidRPr="00E931F4">
        <w:t>the introduction of a client-serving exemption</w:t>
      </w:r>
      <w:r w:rsidR="00873786">
        <w:t xml:space="preserve"> would be advisable and beneficial to the market</w:t>
      </w:r>
      <w:r w:rsidR="00A323CA">
        <w:t xml:space="preserve"> in order to avoid a large number of </w:t>
      </w:r>
      <w:proofErr w:type="spellStart"/>
      <w:r w:rsidR="00A323CA" w:rsidRPr="00A323CA">
        <w:t>unmeaningful</w:t>
      </w:r>
      <w:proofErr w:type="spellEnd"/>
      <w:r w:rsidR="00A323CA">
        <w:t xml:space="preserve"> or confusing disclosures</w:t>
      </w:r>
      <w:r w:rsidR="0051321B" w:rsidRPr="00E931F4">
        <w:t xml:space="preserve">. </w:t>
      </w:r>
    </w:p>
    <w:p w:rsidR="0051321B" w:rsidRPr="00E931F4" w:rsidRDefault="0051321B" w:rsidP="00054F1B">
      <w:pPr>
        <w:autoSpaceDE w:val="0"/>
        <w:autoSpaceDN w:val="0"/>
        <w:spacing w:after="180" w:line="240" w:lineRule="auto"/>
        <w:jc w:val="both"/>
      </w:pPr>
      <w:r w:rsidRPr="00E931F4">
        <w:t>The inclusion of certain cash-settled financial instruments</w:t>
      </w:r>
      <w:r w:rsidR="00335555">
        <w:t xml:space="preserve"> under</w:t>
      </w:r>
      <w:r w:rsidRPr="00E931F4">
        <w:t xml:space="preserve"> Art</w:t>
      </w:r>
      <w:r w:rsidR="00335555">
        <w:t>icle</w:t>
      </w:r>
      <w:r w:rsidRPr="00E931F4">
        <w:t xml:space="preserve"> 13.1</w:t>
      </w:r>
      <w:proofErr w:type="gramStart"/>
      <w:r w:rsidRPr="00E931F4">
        <w:t>.(</w:t>
      </w:r>
      <w:proofErr w:type="gramEnd"/>
      <w:r w:rsidRPr="00E931F4">
        <w:t>b)</w:t>
      </w:r>
      <w:r w:rsidR="004268C3">
        <w:t xml:space="preserve"> fundamentally</w:t>
      </w:r>
      <w:r w:rsidRPr="00E931F4">
        <w:t xml:space="preserve"> changed the objective of the </w:t>
      </w:r>
      <w:r w:rsidR="00335555">
        <w:t>T</w:t>
      </w:r>
      <w:r w:rsidRPr="00E931F4">
        <w:t>D from only identifying significant voting interests (which can directly influence issuers) to also identifying significant economic exposures.  </w:t>
      </w:r>
      <w:r w:rsidR="006D64E5">
        <w:t xml:space="preserve">The </w:t>
      </w:r>
      <w:r w:rsidR="00A97AC8">
        <w:t xml:space="preserve">separate </w:t>
      </w:r>
      <w:r w:rsidR="006D64E5">
        <w:t>addition of this specific component</w:t>
      </w:r>
      <w:r w:rsidRPr="00E931F4">
        <w:t xml:space="preserve"> to the TD regime requires </w:t>
      </w:r>
      <w:r w:rsidR="006D64E5">
        <w:t>that</w:t>
      </w:r>
      <w:r w:rsidRPr="00E931F4">
        <w:t xml:space="preserve"> Art</w:t>
      </w:r>
      <w:r w:rsidR="00335555">
        <w:t>icle</w:t>
      </w:r>
      <w:r w:rsidRPr="00E931F4">
        <w:t xml:space="preserve"> 13.4</w:t>
      </w:r>
      <w:r w:rsidR="006D64E5">
        <w:t xml:space="preserve"> be interpreted</w:t>
      </w:r>
      <w:r w:rsidRPr="00E931F4">
        <w:t xml:space="preserve"> as introducing a separate and specific client</w:t>
      </w:r>
      <w:r w:rsidR="006D64E5">
        <w:t>-</w:t>
      </w:r>
      <w:r w:rsidRPr="00E931F4">
        <w:t xml:space="preserve">serving exemption, as opposed to simply overlaying the </w:t>
      </w:r>
      <w:r w:rsidR="00335555">
        <w:t>pre-</w:t>
      </w:r>
      <w:r w:rsidRPr="00E931F4">
        <w:t>existing market making and trading book exemptions</w:t>
      </w:r>
      <w:r w:rsidR="004268C3">
        <w:t xml:space="preserve">, </w:t>
      </w:r>
      <w:r w:rsidRPr="00E931F4">
        <w:t xml:space="preserve">which </w:t>
      </w:r>
      <w:r w:rsidR="00195FDD">
        <w:t>are</w:t>
      </w:r>
      <w:r w:rsidR="00195FDD" w:rsidRPr="00E931F4">
        <w:t xml:space="preserve"> </w:t>
      </w:r>
      <w:r w:rsidR="001636A3">
        <w:t xml:space="preserve">otherwise </w:t>
      </w:r>
      <w:r w:rsidRPr="00E931F4">
        <w:t xml:space="preserve">applicable </w:t>
      </w:r>
      <w:r w:rsidR="00195FDD">
        <w:t xml:space="preserve">only </w:t>
      </w:r>
      <w:r w:rsidRPr="00E931F4">
        <w:t>to shares or instruments giving a right to acquire shar</w:t>
      </w:r>
      <w:r w:rsidR="001D100E" w:rsidRPr="00E931F4">
        <w:t>es (TD 2004 Art</w:t>
      </w:r>
      <w:r w:rsidR="004268C3">
        <w:t>icles</w:t>
      </w:r>
      <w:r w:rsidR="001D100E" w:rsidRPr="00E931F4">
        <w:t xml:space="preserve"> 9 and 13.1).</w:t>
      </w:r>
    </w:p>
    <w:p w:rsidR="00120077" w:rsidRDefault="0051321B" w:rsidP="00054F1B">
      <w:pPr>
        <w:autoSpaceDE w:val="0"/>
        <w:autoSpaceDN w:val="0"/>
        <w:spacing w:after="180" w:line="240" w:lineRule="auto"/>
        <w:jc w:val="both"/>
      </w:pPr>
      <w:r w:rsidRPr="00E931F4">
        <w:t>Any cash-settled positions that are entered into for purely client</w:t>
      </w:r>
      <w:r w:rsidR="00335555">
        <w:t>-serving</w:t>
      </w:r>
      <w:r w:rsidRPr="00E931F4">
        <w:t xml:space="preserve"> purposes would</w:t>
      </w:r>
      <w:r w:rsidR="004268C3">
        <w:t>, if they were disclosed,</w:t>
      </w:r>
      <w:r w:rsidRPr="00E931F4">
        <w:t xml:space="preserve"> mask direct positions</w:t>
      </w:r>
      <w:r w:rsidR="00A323CA">
        <w:t xml:space="preserve"> entered into</w:t>
      </w:r>
      <w:r w:rsidR="004268C3">
        <w:t xml:space="preserve"> for investment purposes</w:t>
      </w:r>
      <w:r w:rsidRPr="00E931F4">
        <w:t xml:space="preserve"> and thereby undermine the overriding objective of accurate transparency.  This is because client</w:t>
      </w:r>
      <w:r w:rsidR="001636A3">
        <w:t>-serving transactions</w:t>
      </w:r>
      <w:r w:rsidRPr="00E931F4">
        <w:t xml:space="preserve"> consist</w:t>
      </w:r>
      <w:r w:rsidR="001636A3">
        <w:t xml:space="preserve"> of</w:t>
      </w:r>
      <w:r w:rsidRPr="00E931F4">
        <w:t xml:space="preserve"> fulfilling orders received from clients</w:t>
      </w:r>
      <w:r w:rsidR="00335555">
        <w:t>,</w:t>
      </w:r>
      <w:r w:rsidRPr="00E931F4">
        <w:t xml:space="preserve"> responding to a client</w:t>
      </w:r>
      <w:r w:rsidR="00054F1B">
        <w:t>'</w:t>
      </w:r>
      <w:r w:rsidRPr="00E931F4">
        <w:t>s requests to trade otherwise than on a proprietary basis, or hedging positions arising out of such dealings</w:t>
      </w:r>
      <w:r w:rsidR="007428D6">
        <w:t xml:space="preserve">, as set out in </w:t>
      </w:r>
      <w:proofErr w:type="spellStart"/>
      <w:r w:rsidR="007428D6">
        <w:t>paras</w:t>
      </w:r>
      <w:proofErr w:type="spellEnd"/>
      <w:r w:rsidR="007428D6">
        <w:t xml:space="preserve">. </w:t>
      </w:r>
      <w:proofErr w:type="gramStart"/>
      <w:r w:rsidR="001322CF">
        <w:t>114-117</w:t>
      </w:r>
      <w:r w:rsidRPr="00E931F4">
        <w:t>.</w:t>
      </w:r>
      <w:proofErr w:type="gramEnd"/>
      <w:r w:rsidRPr="00E931F4">
        <w:t xml:space="preserve"> </w:t>
      </w:r>
    </w:p>
    <w:p w:rsidR="00335555" w:rsidRDefault="007C069F" w:rsidP="00054F1B">
      <w:pPr>
        <w:autoSpaceDE w:val="0"/>
        <w:autoSpaceDN w:val="0"/>
        <w:spacing w:after="180" w:line="240" w:lineRule="auto"/>
        <w:jc w:val="both"/>
      </w:pPr>
      <w:r>
        <w:t xml:space="preserve">In addition, </w:t>
      </w:r>
      <w:r w:rsidRPr="007C069F">
        <w:t xml:space="preserve">AFME and ISDA members strongly believe </w:t>
      </w:r>
      <w:r>
        <w:t xml:space="preserve">that the </w:t>
      </w:r>
      <w:r w:rsidR="001636A3" w:rsidRPr="001636A3">
        <w:t>exemption should apply to any financial instrument (including phy</w:t>
      </w:r>
      <w:r>
        <w:t>sical shares and physical</w:t>
      </w:r>
      <w:r w:rsidR="00EF0629">
        <w:t>ly settled</w:t>
      </w:r>
      <w:r>
        <w:t xml:space="preserve"> derivatives</w:t>
      </w:r>
      <w:r w:rsidR="001636A3" w:rsidRPr="001636A3">
        <w:t xml:space="preserve">) </w:t>
      </w:r>
      <w:r>
        <w:t>that</w:t>
      </w:r>
      <w:r w:rsidR="001636A3" w:rsidRPr="001636A3">
        <w:t xml:space="preserve"> a </w:t>
      </w:r>
      <w:r>
        <w:t>client-serving entity</w:t>
      </w:r>
      <w:r w:rsidR="00A323CA">
        <w:t xml:space="preserve"> holds in order to hedge a </w:t>
      </w:r>
      <w:r w:rsidR="00120077">
        <w:t xml:space="preserve">cash-settled derivative </w:t>
      </w:r>
      <w:r w:rsidR="00A323CA">
        <w:t>transaction entered into in a client-</w:t>
      </w:r>
      <w:r w:rsidR="001636A3" w:rsidRPr="001636A3">
        <w:t>serving capacity.  As drafted</w:t>
      </w:r>
      <w:r>
        <w:t>,</w:t>
      </w:r>
      <w:r w:rsidR="001636A3" w:rsidRPr="001636A3">
        <w:t xml:space="preserve"> the </w:t>
      </w:r>
      <w:r w:rsidR="00120077">
        <w:t xml:space="preserve">proposed </w:t>
      </w:r>
      <w:r w:rsidR="001636A3" w:rsidRPr="001636A3">
        <w:t>exemption</w:t>
      </w:r>
      <w:r>
        <w:t xml:space="preserve"> seems intended to</w:t>
      </w:r>
      <w:r w:rsidR="001636A3" w:rsidRPr="001636A3">
        <w:t xml:space="preserve"> apply </w:t>
      </w:r>
      <w:r w:rsidRPr="001636A3">
        <w:t xml:space="preserve">only </w:t>
      </w:r>
      <w:r w:rsidR="001636A3" w:rsidRPr="001636A3">
        <w:t>to long cash-settled derivative positions which</w:t>
      </w:r>
      <w:r>
        <w:t xml:space="preserve"> a firm holds in this capacity.  However, </w:t>
      </w:r>
      <w:r w:rsidR="001636A3" w:rsidRPr="001636A3">
        <w:t>just as it would not provide meaningful informa</w:t>
      </w:r>
      <w:r>
        <w:t>tion to the market if a client-serving entit</w:t>
      </w:r>
      <w:r w:rsidR="001636A3" w:rsidRPr="001636A3">
        <w:t>y</w:t>
      </w:r>
      <w:r>
        <w:t xml:space="preserve"> were</w:t>
      </w:r>
      <w:r w:rsidR="001636A3" w:rsidRPr="001636A3">
        <w:t xml:space="preserve"> to disclose a long </w:t>
      </w:r>
      <w:r>
        <w:t>derivative</w:t>
      </w:r>
      <w:r w:rsidR="001636A3" w:rsidRPr="001636A3">
        <w:t xml:space="preserve"> position it has entered into</w:t>
      </w:r>
      <w:r w:rsidR="00A323CA">
        <w:t xml:space="preserve"> </w:t>
      </w:r>
      <w:r w:rsidR="001636A3" w:rsidRPr="001636A3">
        <w:t>at a client</w:t>
      </w:r>
      <w:r w:rsidR="00054F1B">
        <w:t>'</w:t>
      </w:r>
      <w:r w:rsidR="001636A3" w:rsidRPr="001636A3">
        <w:t>s request</w:t>
      </w:r>
      <w:r w:rsidR="00A323CA">
        <w:t xml:space="preserve"> </w:t>
      </w:r>
      <w:r w:rsidR="00120077">
        <w:t>(</w:t>
      </w:r>
      <w:r w:rsidR="00A323CA">
        <w:t xml:space="preserve">Case </w:t>
      </w:r>
      <w:r w:rsidR="00120077">
        <w:t xml:space="preserve">2, </w:t>
      </w:r>
      <w:proofErr w:type="spellStart"/>
      <w:r w:rsidR="00A323CA">
        <w:t>para</w:t>
      </w:r>
      <w:proofErr w:type="spellEnd"/>
      <w:r w:rsidR="00A323CA">
        <w:t xml:space="preserve">. </w:t>
      </w:r>
      <w:r w:rsidR="00120077">
        <w:t>116</w:t>
      </w:r>
      <w:r>
        <w:t>), equally it would no</w:t>
      </w:r>
      <w:r w:rsidR="001636A3" w:rsidRPr="001636A3">
        <w:t>t provide meanin</w:t>
      </w:r>
      <w:r>
        <w:t>gful information to the market if a client-serving entity were</w:t>
      </w:r>
      <w:r w:rsidR="001636A3" w:rsidRPr="001636A3">
        <w:t xml:space="preserve"> to disclose a</w:t>
      </w:r>
      <w:r>
        <w:t xml:space="preserve"> </w:t>
      </w:r>
      <w:r w:rsidR="001636A3" w:rsidRPr="001636A3">
        <w:t xml:space="preserve">long position in shares which it holds as a hedge to a short </w:t>
      </w:r>
      <w:r w:rsidR="00120077">
        <w:t xml:space="preserve">cash-settled </w:t>
      </w:r>
      <w:r>
        <w:t>derivative</w:t>
      </w:r>
      <w:r w:rsidR="001636A3" w:rsidRPr="001636A3">
        <w:t xml:space="preserve"> position it has entered into at a client</w:t>
      </w:r>
      <w:r w:rsidR="00054F1B">
        <w:t>'</w:t>
      </w:r>
      <w:r w:rsidR="001636A3" w:rsidRPr="001636A3">
        <w:t>s request</w:t>
      </w:r>
      <w:r>
        <w:t xml:space="preserve"> </w:t>
      </w:r>
      <w:r w:rsidR="00120077">
        <w:t>(</w:t>
      </w:r>
      <w:r>
        <w:t>Case 3</w:t>
      </w:r>
      <w:r w:rsidR="00120077">
        <w:t xml:space="preserve">, </w:t>
      </w:r>
      <w:proofErr w:type="spellStart"/>
      <w:r w:rsidR="00120077">
        <w:t>para</w:t>
      </w:r>
      <w:proofErr w:type="spellEnd"/>
      <w:r w:rsidR="00120077">
        <w:t xml:space="preserve"> 117)</w:t>
      </w:r>
      <w:r w:rsidR="001636A3" w:rsidRPr="001636A3">
        <w:t xml:space="preserve">. </w:t>
      </w:r>
      <w:r w:rsidR="00120077">
        <w:t xml:space="preserve"> In both cases the financial intermediary would, absent an appropriate exemption, have a </w:t>
      </w:r>
      <w:proofErr w:type="spellStart"/>
      <w:r w:rsidR="00120077">
        <w:t>disclosable</w:t>
      </w:r>
      <w:proofErr w:type="spellEnd"/>
      <w:r w:rsidR="00120077">
        <w:t xml:space="preserve"> long position as a direct result of its activity as a client intermediary – indeed, we </w:t>
      </w:r>
      <w:r w:rsidR="00EF0629">
        <w:t>presume</w:t>
      </w:r>
      <w:r w:rsidR="00120077">
        <w:t xml:space="preserve"> that by highlighting Case 3, ESMA agrees that the exemption should apply equally in this scenario as in Case 2.  </w:t>
      </w:r>
      <w:r w:rsidR="001636A3" w:rsidRPr="001636A3">
        <w:t>Provided</w:t>
      </w:r>
      <w:r w:rsidR="007428D6">
        <w:t xml:space="preserve"> that</w:t>
      </w:r>
      <w:r w:rsidR="001636A3" w:rsidRPr="001636A3">
        <w:t xml:space="preserve"> the </w:t>
      </w:r>
      <w:r w:rsidR="007428D6">
        <w:t>client-serving entity does not intend to</w:t>
      </w:r>
      <w:r w:rsidR="001636A3" w:rsidRPr="001636A3">
        <w:t xml:space="preserve"> and </w:t>
      </w:r>
      <w:r w:rsidR="007428D6">
        <w:t>does not in practice</w:t>
      </w:r>
      <w:r w:rsidR="001636A3" w:rsidRPr="001636A3">
        <w:t xml:space="preserve"> vote any shares it holds</w:t>
      </w:r>
      <w:r w:rsidR="00A323CA">
        <w:t xml:space="preserve"> as a hedge</w:t>
      </w:r>
      <w:r w:rsidR="007428D6">
        <w:t xml:space="preserve"> in this client-serving capacity</w:t>
      </w:r>
      <w:r w:rsidR="001636A3" w:rsidRPr="001636A3">
        <w:t xml:space="preserve">, that </w:t>
      </w:r>
      <w:r w:rsidR="007428D6">
        <w:t xml:space="preserve">physical </w:t>
      </w:r>
      <w:r w:rsidR="001636A3" w:rsidRPr="001636A3">
        <w:t xml:space="preserve">shareholding </w:t>
      </w:r>
      <w:r w:rsidR="00120077">
        <w:t xml:space="preserve">held as a hedge </w:t>
      </w:r>
      <w:r w:rsidR="001636A3" w:rsidRPr="001636A3">
        <w:t>should be exempt</w:t>
      </w:r>
      <w:r w:rsidR="007428D6">
        <w:t xml:space="preserve"> from disclosure</w:t>
      </w:r>
      <w:r w:rsidR="00120077">
        <w:t xml:space="preserve"> because it does not provide the market with meaningful information</w:t>
      </w:r>
      <w:r w:rsidR="001636A3" w:rsidRPr="001636A3">
        <w:t xml:space="preserve">.  </w:t>
      </w:r>
    </w:p>
    <w:p w:rsidR="0051321B" w:rsidRPr="00E931F4" w:rsidRDefault="001322CF" w:rsidP="00054F1B">
      <w:pPr>
        <w:autoSpaceDE w:val="0"/>
        <w:autoSpaceDN w:val="0"/>
        <w:spacing w:after="180" w:line="240" w:lineRule="auto"/>
        <w:jc w:val="both"/>
      </w:pPr>
      <w:r>
        <w:t>W</w:t>
      </w:r>
      <w:r w:rsidR="0051321B" w:rsidRPr="00E931F4">
        <w:t xml:space="preserve">ith the inclusion of certain cash-settled instruments, the 5% thresholds for both the market making and trading book exemptions could be reached </w:t>
      </w:r>
      <w:r w:rsidR="00335555">
        <w:t xml:space="preserve">too </w:t>
      </w:r>
      <w:r w:rsidR="0051321B" w:rsidRPr="00E931F4">
        <w:t>easily, but not in a meaningful way</w:t>
      </w:r>
      <w:r w:rsidR="008829E6">
        <w:t>, thereby</w:t>
      </w:r>
      <w:r w:rsidR="0051321B" w:rsidRPr="00E931F4">
        <w:t xml:space="preserve"> resulting in excess information to the market which could obscure the identity of true stakeholders. </w:t>
      </w:r>
      <w:r w:rsidR="001636A3">
        <w:t xml:space="preserve"> </w:t>
      </w:r>
      <w:r w:rsidR="0051321B" w:rsidRPr="00E931F4">
        <w:t xml:space="preserve">Moreover, the effectiveness of the current market making </w:t>
      </w:r>
      <w:r w:rsidR="001636A3">
        <w:t>exemption</w:t>
      </w:r>
      <w:r w:rsidR="001636A3" w:rsidRPr="00E931F4">
        <w:t xml:space="preserve"> </w:t>
      </w:r>
      <w:r w:rsidR="0051321B" w:rsidRPr="00E931F4">
        <w:t xml:space="preserve">is limited in that the application of the rules can vary </w:t>
      </w:r>
      <w:r w:rsidR="001636A3">
        <w:t xml:space="preserve">substantially </w:t>
      </w:r>
      <w:r w:rsidR="0051321B" w:rsidRPr="00E931F4">
        <w:t>across Member States</w:t>
      </w:r>
      <w:r w:rsidR="001636A3">
        <w:t>.</w:t>
      </w:r>
      <w:r w:rsidR="0051321B" w:rsidRPr="00E931F4">
        <w:t xml:space="preserve"> </w:t>
      </w:r>
      <w:r w:rsidR="001636A3" w:rsidRPr="001636A3">
        <w:t xml:space="preserve"> In certain Member States</w:t>
      </w:r>
      <w:r w:rsidR="001636A3">
        <w:t xml:space="preserve"> the application of the rules</w:t>
      </w:r>
      <w:r w:rsidR="0051321B" w:rsidRPr="00E931F4">
        <w:t xml:space="preserve"> can be overly cumbersome and to that extent may not be utilised as intended in those Member States.</w:t>
      </w:r>
    </w:p>
    <w:p w:rsidR="007166E7" w:rsidRDefault="0051321B" w:rsidP="00054F1B">
      <w:pPr>
        <w:pStyle w:val="Default"/>
        <w:spacing w:after="180"/>
        <w:jc w:val="both"/>
        <w:rPr>
          <w:rFonts w:ascii="Calibri" w:hAnsi="Calibri"/>
          <w:color w:val="auto"/>
          <w:sz w:val="22"/>
          <w:szCs w:val="22"/>
          <w:lang w:val="en-GB"/>
        </w:rPr>
      </w:pPr>
      <w:r w:rsidRPr="00744976">
        <w:rPr>
          <w:rFonts w:ascii="Calibri" w:hAnsi="Calibri"/>
          <w:color w:val="auto"/>
          <w:sz w:val="22"/>
          <w:szCs w:val="22"/>
          <w:lang w:val="en-GB"/>
        </w:rPr>
        <w:t xml:space="preserve">Therefore, we believe that in order to avoid </w:t>
      </w:r>
      <w:r w:rsidR="00474DF7">
        <w:rPr>
          <w:rFonts w:ascii="Calibri" w:hAnsi="Calibri"/>
          <w:color w:val="auto"/>
          <w:sz w:val="22"/>
          <w:szCs w:val="22"/>
          <w:lang w:val="en-GB"/>
        </w:rPr>
        <w:t xml:space="preserve">duplicative and </w:t>
      </w:r>
      <w:proofErr w:type="spellStart"/>
      <w:r w:rsidR="00474DF7">
        <w:rPr>
          <w:rFonts w:ascii="Calibri" w:hAnsi="Calibri"/>
          <w:color w:val="auto"/>
          <w:sz w:val="22"/>
          <w:szCs w:val="22"/>
          <w:lang w:val="en-GB"/>
        </w:rPr>
        <w:t>unmeaningful</w:t>
      </w:r>
      <w:proofErr w:type="spellEnd"/>
      <w:r w:rsidR="00474DF7">
        <w:rPr>
          <w:rFonts w:ascii="Calibri" w:hAnsi="Calibri"/>
          <w:color w:val="auto"/>
          <w:sz w:val="22"/>
          <w:szCs w:val="22"/>
          <w:lang w:val="en-GB"/>
        </w:rPr>
        <w:t xml:space="preserve"> disclosures</w:t>
      </w:r>
      <w:r w:rsidRPr="00744976">
        <w:rPr>
          <w:rFonts w:ascii="Calibri" w:hAnsi="Calibri"/>
          <w:color w:val="auto"/>
          <w:sz w:val="22"/>
          <w:szCs w:val="22"/>
          <w:lang w:val="en-GB"/>
        </w:rPr>
        <w:t xml:space="preserve"> in the market and to promote meaningful and accurate transparency, a separate, harmonised and effective </w:t>
      </w:r>
      <w:r w:rsidRPr="00744976">
        <w:rPr>
          <w:rFonts w:ascii="Calibri" w:hAnsi="Calibri"/>
          <w:color w:val="auto"/>
          <w:sz w:val="22"/>
          <w:szCs w:val="22"/>
          <w:lang w:val="en-GB"/>
        </w:rPr>
        <w:lastRenderedPageBreak/>
        <w:t>client</w:t>
      </w:r>
      <w:r w:rsidR="00474DF7">
        <w:rPr>
          <w:rFonts w:ascii="Calibri" w:hAnsi="Calibri"/>
          <w:color w:val="auto"/>
          <w:sz w:val="22"/>
          <w:szCs w:val="22"/>
          <w:lang w:val="en-GB"/>
        </w:rPr>
        <w:noBreakHyphen/>
      </w:r>
      <w:proofErr w:type="spellStart"/>
      <w:r w:rsidRPr="00744976">
        <w:rPr>
          <w:rFonts w:ascii="Calibri" w:hAnsi="Calibri"/>
          <w:color w:val="auto"/>
          <w:sz w:val="22"/>
          <w:szCs w:val="22"/>
          <w:lang w:val="en-GB"/>
        </w:rPr>
        <w:t>serving</w:t>
      </w:r>
      <w:proofErr w:type="spellEnd"/>
      <w:r w:rsidRPr="00744976">
        <w:rPr>
          <w:rFonts w:ascii="Calibri" w:hAnsi="Calibri"/>
          <w:color w:val="auto"/>
          <w:sz w:val="22"/>
          <w:szCs w:val="22"/>
          <w:lang w:val="en-GB"/>
        </w:rPr>
        <w:t xml:space="preserve"> exemption is required</w:t>
      </w:r>
      <w:r w:rsidR="00474DF7">
        <w:rPr>
          <w:rFonts w:ascii="Calibri" w:hAnsi="Calibri"/>
          <w:color w:val="auto"/>
          <w:sz w:val="22"/>
          <w:szCs w:val="22"/>
          <w:lang w:val="en-GB"/>
        </w:rPr>
        <w:t xml:space="preserve"> and that this should also apply to physical positions which hedge a client-serving transaction.</w:t>
      </w:r>
      <w:r w:rsidRPr="00744976">
        <w:rPr>
          <w:rFonts w:ascii="Calibri" w:hAnsi="Calibri"/>
          <w:color w:val="auto"/>
          <w:sz w:val="22"/>
          <w:szCs w:val="22"/>
          <w:lang w:val="en-GB"/>
        </w:rPr>
        <w:t xml:space="preserve"> </w:t>
      </w:r>
    </w:p>
    <w:p w:rsidR="007166E7" w:rsidRPr="00DF732A" w:rsidRDefault="007166E7" w:rsidP="00054F1B">
      <w:pPr>
        <w:pStyle w:val="Default"/>
        <w:spacing w:after="180"/>
        <w:jc w:val="both"/>
        <w:rPr>
          <w:rFonts w:ascii="Calibri" w:hAnsi="Calibri" w:cs="Georgia"/>
          <w:b/>
          <w:bCs/>
          <w:i/>
          <w:color w:val="auto"/>
          <w:sz w:val="22"/>
          <w:szCs w:val="22"/>
          <w:lang w:eastAsia="en-GB"/>
        </w:rPr>
      </w:pPr>
      <w:r w:rsidRPr="00DF732A">
        <w:rPr>
          <w:rFonts w:ascii="Calibri" w:hAnsi="Calibri" w:cs="Georgia"/>
          <w:b/>
          <w:bCs/>
          <w:i/>
          <w:color w:val="auto"/>
          <w:sz w:val="22"/>
          <w:szCs w:val="22"/>
          <w:lang w:eastAsia="en-GB"/>
        </w:rPr>
        <w:t xml:space="preserve">Q19: Do you agree that the client-serving exemption should cover </w:t>
      </w:r>
      <w:proofErr w:type="spellStart"/>
      <w:r w:rsidRPr="00DF732A">
        <w:rPr>
          <w:rFonts w:ascii="Calibri" w:hAnsi="Calibri" w:cs="Georgia"/>
          <w:b/>
          <w:bCs/>
          <w:i/>
          <w:color w:val="auto"/>
          <w:sz w:val="22"/>
          <w:szCs w:val="22"/>
          <w:lang w:eastAsia="en-GB"/>
        </w:rPr>
        <w:t>MiFID</w:t>
      </w:r>
      <w:proofErr w:type="spellEnd"/>
      <w:r w:rsidRPr="00DF732A">
        <w:rPr>
          <w:rFonts w:ascii="Calibri" w:hAnsi="Calibri" w:cs="Georgia"/>
          <w:b/>
          <w:bCs/>
          <w:i/>
          <w:color w:val="auto"/>
          <w:sz w:val="22"/>
          <w:szCs w:val="22"/>
          <w:lang w:eastAsia="en-GB"/>
        </w:rPr>
        <w:t xml:space="preserve"> </w:t>
      </w:r>
      <w:proofErr w:type="spellStart"/>
      <w:r w:rsidRPr="00DF732A">
        <w:rPr>
          <w:rFonts w:ascii="Calibri" w:hAnsi="Calibri" w:cs="Georgia"/>
          <w:b/>
          <w:bCs/>
          <w:i/>
          <w:color w:val="auto"/>
          <w:sz w:val="22"/>
          <w:szCs w:val="22"/>
          <w:lang w:eastAsia="en-GB"/>
        </w:rPr>
        <w:t>authorised</w:t>
      </w:r>
      <w:proofErr w:type="spellEnd"/>
      <w:r w:rsidRPr="00DF732A">
        <w:rPr>
          <w:rFonts w:ascii="Calibri" w:hAnsi="Calibri" w:cs="Georgia"/>
          <w:b/>
          <w:bCs/>
          <w:i/>
          <w:color w:val="auto"/>
          <w:sz w:val="22"/>
          <w:szCs w:val="22"/>
          <w:lang w:eastAsia="en-GB"/>
        </w:rPr>
        <w:t xml:space="preserve"> entities as well as a natural or legal person who is not itself </w:t>
      </w:r>
      <w:proofErr w:type="spellStart"/>
      <w:r w:rsidRPr="00DF732A">
        <w:rPr>
          <w:rFonts w:ascii="Calibri" w:hAnsi="Calibri" w:cs="Georgia"/>
          <w:b/>
          <w:bCs/>
          <w:i/>
          <w:color w:val="auto"/>
          <w:sz w:val="22"/>
          <w:szCs w:val="22"/>
          <w:lang w:eastAsia="en-GB"/>
        </w:rPr>
        <w:t>M</w:t>
      </w:r>
      <w:r w:rsidR="00AE444D">
        <w:rPr>
          <w:rFonts w:ascii="Calibri" w:hAnsi="Calibri" w:cs="Georgia"/>
          <w:b/>
          <w:bCs/>
          <w:i/>
          <w:color w:val="auto"/>
          <w:sz w:val="22"/>
          <w:szCs w:val="22"/>
          <w:lang w:eastAsia="en-GB"/>
        </w:rPr>
        <w:t>i</w:t>
      </w:r>
      <w:r w:rsidRPr="00DF732A">
        <w:rPr>
          <w:rFonts w:ascii="Calibri" w:hAnsi="Calibri" w:cs="Georgia"/>
          <w:b/>
          <w:bCs/>
          <w:i/>
          <w:color w:val="auto"/>
          <w:sz w:val="22"/>
          <w:szCs w:val="22"/>
          <w:lang w:eastAsia="en-GB"/>
        </w:rPr>
        <w:t>FID</w:t>
      </w:r>
      <w:proofErr w:type="spellEnd"/>
      <w:r w:rsidRPr="00DF732A">
        <w:rPr>
          <w:rFonts w:ascii="Calibri" w:hAnsi="Calibri" w:cs="Georgia"/>
          <w:b/>
          <w:bCs/>
          <w:i/>
          <w:color w:val="auto"/>
          <w:sz w:val="22"/>
          <w:szCs w:val="22"/>
          <w:lang w:eastAsia="en-GB"/>
        </w:rPr>
        <w:t xml:space="preserve"> </w:t>
      </w:r>
      <w:proofErr w:type="spellStart"/>
      <w:r w:rsidRPr="00DF732A">
        <w:rPr>
          <w:rFonts w:ascii="Calibri" w:hAnsi="Calibri" w:cs="Georgia"/>
          <w:b/>
          <w:bCs/>
          <w:i/>
          <w:color w:val="auto"/>
          <w:sz w:val="22"/>
          <w:szCs w:val="22"/>
          <w:lang w:eastAsia="en-GB"/>
        </w:rPr>
        <w:t>authorised</w:t>
      </w:r>
      <w:proofErr w:type="spellEnd"/>
      <w:r w:rsidRPr="00DF732A">
        <w:rPr>
          <w:rFonts w:ascii="Calibri" w:hAnsi="Calibri" w:cs="Georgia"/>
          <w:b/>
          <w:bCs/>
          <w:i/>
          <w:color w:val="auto"/>
          <w:sz w:val="22"/>
          <w:szCs w:val="22"/>
          <w:lang w:eastAsia="en-GB"/>
        </w:rPr>
        <w:t xml:space="preserve"> but is in the same group as a </w:t>
      </w:r>
      <w:proofErr w:type="spellStart"/>
      <w:r w:rsidRPr="00DF732A">
        <w:rPr>
          <w:rFonts w:ascii="Calibri" w:hAnsi="Calibri" w:cs="Georgia"/>
          <w:b/>
          <w:bCs/>
          <w:i/>
          <w:color w:val="auto"/>
          <w:sz w:val="22"/>
          <w:szCs w:val="22"/>
          <w:lang w:eastAsia="en-GB"/>
        </w:rPr>
        <w:t>MiFID</w:t>
      </w:r>
      <w:proofErr w:type="spellEnd"/>
      <w:r w:rsidRPr="00DF732A">
        <w:rPr>
          <w:rFonts w:ascii="Calibri" w:hAnsi="Calibri" w:cs="Georgia"/>
          <w:b/>
          <w:bCs/>
          <w:i/>
          <w:color w:val="auto"/>
          <w:sz w:val="22"/>
          <w:szCs w:val="22"/>
          <w:lang w:eastAsia="en-GB"/>
        </w:rPr>
        <w:t xml:space="preserve"> </w:t>
      </w:r>
      <w:proofErr w:type="spellStart"/>
      <w:r w:rsidRPr="00DF732A">
        <w:rPr>
          <w:rFonts w:ascii="Calibri" w:hAnsi="Calibri" w:cs="Georgia"/>
          <w:b/>
          <w:bCs/>
          <w:i/>
          <w:color w:val="auto"/>
          <w:sz w:val="22"/>
          <w:szCs w:val="22"/>
          <w:lang w:eastAsia="en-GB"/>
        </w:rPr>
        <w:t>authorised</w:t>
      </w:r>
      <w:proofErr w:type="spellEnd"/>
      <w:r w:rsidRPr="00DF732A">
        <w:rPr>
          <w:rFonts w:ascii="Calibri" w:hAnsi="Calibri" w:cs="Georgia"/>
          <w:b/>
          <w:bCs/>
          <w:i/>
          <w:color w:val="auto"/>
          <w:sz w:val="22"/>
          <w:szCs w:val="22"/>
          <w:lang w:eastAsia="en-GB"/>
        </w:rPr>
        <w:t xml:space="preserve"> entity and is additionally </w:t>
      </w:r>
      <w:proofErr w:type="spellStart"/>
      <w:r w:rsidRPr="00DF732A">
        <w:rPr>
          <w:rFonts w:ascii="Calibri" w:hAnsi="Calibri" w:cs="Georgia"/>
          <w:b/>
          <w:bCs/>
          <w:i/>
          <w:color w:val="auto"/>
          <w:sz w:val="22"/>
          <w:szCs w:val="22"/>
          <w:lang w:eastAsia="en-GB"/>
        </w:rPr>
        <w:t>authorised</w:t>
      </w:r>
      <w:proofErr w:type="spellEnd"/>
      <w:r w:rsidRPr="00DF732A">
        <w:rPr>
          <w:rFonts w:ascii="Calibri" w:hAnsi="Calibri" w:cs="Georgia"/>
          <w:b/>
          <w:bCs/>
          <w:i/>
          <w:color w:val="auto"/>
          <w:sz w:val="22"/>
          <w:szCs w:val="22"/>
          <w:lang w:eastAsia="en-GB"/>
        </w:rPr>
        <w:t xml:space="preserve"> by its home non-EU state regulator to perform investment services related to client-serving transactions? Can you foresee any additional cost in case the exemption does not also cover non-EU entities within the group? If yes, please provide an estimate?</w:t>
      </w:r>
    </w:p>
    <w:p w:rsidR="00EF0629" w:rsidRDefault="00F229A2" w:rsidP="00054F1B">
      <w:pPr>
        <w:autoSpaceDE w:val="0"/>
        <w:autoSpaceDN w:val="0"/>
        <w:adjustRightInd w:val="0"/>
        <w:spacing w:after="180" w:line="240" w:lineRule="auto"/>
        <w:jc w:val="both"/>
        <w:rPr>
          <w:rFonts w:cs="Georgia"/>
        </w:rPr>
      </w:pPr>
      <w:r w:rsidRPr="00DF732A">
        <w:rPr>
          <w:rFonts w:cs="Georgia"/>
        </w:rPr>
        <w:t xml:space="preserve">We agree that </w:t>
      </w:r>
      <w:r w:rsidR="00AE444D">
        <w:rPr>
          <w:rFonts w:cs="Georgia"/>
        </w:rPr>
        <w:t>the</w:t>
      </w:r>
      <w:r w:rsidR="00AE444D" w:rsidRPr="00DF732A">
        <w:rPr>
          <w:rFonts w:cs="Georgia"/>
        </w:rPr>
        <w:t xml:space="preserve"> </w:t>
      </w:r>
      <w:r w:rsidRPr="00DF732A">
        <w:rPr>
          <w:rFonts w:cs="Georgia"/>
        </w:rPr>
        <w:t>client</w:t>
      </w:r>
      <w:r w:rsidR="00AE444D">
        <w:rPr>
          <w:rFonts w:cs="Georgia"/>
        </w:rPr>
        <w:t>-</w:t>
      </w:r>
      <w:r w:rsidRPr="00DF732A">
        <w:rPr>
          <w:rFonts w:cs="Georgia"/>
        </w:rPr>
        <w:t>serving exemption should extend to</w:t>
      </w:r>
      <w:r w:rsidR="00AE444D">
        <w:rPr>
          <w:rFonts w:cs="Georgia"/>
        </w:rPr>
        <w:t xml:space="preserve"> both</w:t>
      </w:r>
      <w:r w:rsidRPr="00DF732A">
        <w:rPr>
          <w:rFonts w:cs="Georgia"/>
        </w:rPr>
        <w:t xml:space="preserve"> </w:t>
      </w:r>
      <w:proofErr w:type="spellStart"/>
      <w:r w:rsidRPr="00DF732A">
        <w:rPr>
          <w:rFonts w:cs="Georgia"/>
        </w:rPr>
        <w:t>M</w:t>
      </w:r>
      <w:r w:rsidR="00AE444D">
        <w:rPr>
          <w:rFonts w:cs="Georgia"/>
        </w:rPr>
        <w:t>i</w:t>
      </w:r>
      <w:r w:rsidRPr="00DF732A">
        <w:rPr>
          <w:rFonts w:cs="Georgia"/>
        </w:rPr>
        <w:t>FID</w:t>
      </w:r>
      <w:proofErr w:type="spellEnd"/>
      <w:r w:rsidRPr="00DF732A">
        <w:rPr>
          <w:rFonts w:cs="Georgia"/>
        </w:rPr>
        <w:t xml:space="preserve"> authorised entities</w:t>
      </w:r>
      <w:r w:rsidR="00AE444D">
        <w:rPr>
          <w:rFonts w:cs="Georgia"/>
        </w:rPr>
        <w:t xml:space="preserve"> and</w:t>
      </w:r>
      <w:r w:rsidRPr="00DF732A">
        <w:rPr>
          <w:rFonts w:cs="Georgia"/>
        </w:rPr>
        <w:t xml:space="preserve"> non-</w:t>
      </w:r>
      <w:proofErr w:type="spellStart"/>
      <w:r w:rsidRPr="00DF732A">
        <w:rPr>
          <w:rFonts w:cs="Georgia"/>
        </w:rPr>
        <w:t>M</w:t>
      </w:r>
      <w:r w:rsidR="00AE444D">
        <w:rPr>
          <w:rFonts w:cs="Georgia"/>
        </w:rPr>
        <w:t>i</w:t>
      </w:r>
      <w:r w:rsidRPr="00DF732A">
        <w:rPr>
          <w:rFonts w:cs="Georgia"/>
        </w:rPr>
        <w:t>FID</w:t>
      </w:r>
      <w:proofErr w:type="spellEnd"/>
      <w:r w:rsidRPr="00DF732A">
        <w:rPr>
          <w:rFonts w:cs="Georgia"/>
        </w:rPr>
        <w:t xml:space="preserve"> authorised entities which are in the same group as a </w:t>
      </w:r>
      <w:proofErr w:type="spellStart"/>
      <w:r w:rsidRPr="00DF732A">
        <w:rPr>
          <w:rFonts w:cs="Georgia"/>
        </w:rPr>
        <w:t>M</w:t>
      </w:r>
      <w:r w:rsidR="00AE444D">
        <w:rPr>
          <w:rFonts w:cs="Georgia"/>
        </w:rPr>
        <w:t>i</w:t>
      </w:r>
      <w:r w:rsidRPr="00DF732A">
        <w:rPr>
          <w:rFonts w:cs="Georgia"/>
        </w:rPr>
        <w:t>FID</w:t>
      </w:r>
      <w:proofErr w:type="spellEnd"/>
      <w:r w:rsidRPr="00DF732A">
        <w:rPr>
          <w:rFonts w:cs="Georgia"/>
        </w:rPr>
        <w:t xml:space="preserve"> authorised entity. </w:t>
      </w:r>
      <w:r w:rsidR="00BB5BC9">
        <w:rPr>
          <w:rFonts w:cs="Georgia"/>
        </w:rPr>
        <w:t>Many</w:t>
      </w:r>
      <w:r w:rsidR="00BB5BC9" w:rsidRPr="00BB5BC9">
        <w:rPr>
          <w:rFonts w:cs="Georgia"/>
        </w:rPr>
        <w:t xml:space="preserve"> firms are likely </w:t>
      </w:r>
      <w:r w:rsidR="00BB5BC9">
        <w:rPr>
          <w:rFonts w:cs="Georgia"/>
        </w:rPr>
        <w:t xml:space="preserve">to </w:t>
      </w:r>
      <w:r w:rsidR="00BB5BC9" w:rsidRPr="00BB5BC9">
        <w:rPr>
          <w:rFonts w:cs="Georgia"/>
        </w:rPr>
        <w:t xml:space="preserve">have </w:t>
      </w:r>
      <w:r w:rsidR="00990EF5">
        <w:rPr>
          <w:rFonts w:cs="Georgia"/>
        </w:rPr>
        <w:t xml:space="preserve">in their </w:t>
      </w:r>
      <w:r w:rsidR="00BB5BC9" w:rsidRPr="00BB5BC9">
        <w:rPr>
          <w:rFonts w:cs="Georgia"/>
        </w:rPr>
        <w:t xml:space="preserve">group entities </w:t>
      </w:r>
      <w:r w:rsidR="00990EF5">
        <w:rPr>
          <w:rFonts w:cs="Georgia"/>
        </w:rPr>
        <w:t>which</w:t>
      </w:r>
      <w:r w:rsidR="00BB5BC9" w:rsidRPr="00BB5BC9">
        <w:rPr>
          <w:rFonts w:cs="Georgia"/>
        </w:rPr>
        <w:t xml:space="preserve"> engage in client-serving activities but </w:t>
      </w:r>
      <w:r w:rsidR="00990EF5" w:rsidRPr="00990EF5">
        <w:rPr>
          <w:rFonts w:cs="Georgia"/>
        </w:rPr>
        <w:t xml:space="preserve">which </w:t>
      </w:r>
      <w:r w:rsidR="00BB5BC9" w:rsidRPr="00BB5BC9">
        <w:rPr>
          <w:rFonts w:cs="Georgia"/>
        </w:rPr>
        <w:t xml:space="preserve">are not </w:t>
      </w:r>
      <w:proofErr w:type="spellStart"/>
      <w:r w:rsidR="00BB5BC9" w:rsidRPr="00BB5BC9">
        <w:rPr>
          <w:rFonts w:cs="Georgia"/>
        </w:rPr>
        <w:t>MiFID</w:t>
      </w:r>
      <w:proofErr w:type="spellEnd"/>
      <w:r w:rsidR="00BB5BC9" w:rsidRPr="00BB5BC9">
        <w:rPr>
          <w:rFonts w:cs="Georgia"/>
        </w:rPr>
        <w:t xml:space="preserve"> </w:t>
      </w:r>
      <w:r w:rsidR="00BB5BC9">
        <w:rPr>
          <w:rFonts w:cs="Georgia"/>
        </w:rPr>
        <w:t xml:space="preserve">authorised.  </w:t>
      </w:r>
    </w:p>
    <w:p w:rsidR="00AE444D" w:rsidRPr="00A84057" w:rsidRDefault="00BB5BC9" w:rsidP="00054F1B">
      <w:pPr>
        <w:autoSpaceDE w:val="0"/>
        <w:autoSpaceDN w:val="0"/>
        <w:adjustRightInd w:val="0"/>
        <w:spacing w:after="180" w:line="240" w:lineRule="auto"/>
        <w:jc w:val="both"/>
        <w:rPr>
          <w:rFonts w:cs="Georgia"/>
        </w:rPr>
      </w:pPr>
      <w:r>
        <w:rPr>
          <w:rFonts w:cs="Georgia"/>
        </w:rPr>
        <w:t>For example, o</w:t>
      </w:r>
      <w:r w:rsidRPr="00BB5BC9">
        <w:rPr>
          <w:rFonts w:cs="Georgia"/>
        </w:rPr>
        <w:t xml:space="preserve">ne </w:t>
      </w:r>
      <w:r>
        <w:rPr>
          <w:rFonts w:cs="Georgia"/>
        </w:rPr>
        <w:t xml:space="preserve">relevant </w:t>
      </w:r>
      <w:r w:rsidRPr="00BB5BC9">
        <w:rPr>
          <w:rFonts w:cs="Georgia"/>
        </w:rPr>
        <w:t>scenario may be where</w:t>
      </w:r>
      <w:r w:rsidR="00EF0629">
        <w:rPr>
          <w:rFonts w:cs="Georgia"/>
        </w:rPr>
        <w:t>,</w:t>
      </w:r>
      <w:r w:rsidRPr="00BB5BC9">
        <w:rPr>
          <w:rFonts w:cs="Georgia"/>
        </w:rPr>
        <w:t xml:space="preserve"> </w:t>
      </w:r>
      <w:r w:rsidR="00990EF5">
        <w:rPr>
          <w:rFonts w:cs="Georgia"/>
        </w:rPr>
        <w:t>in response to a client order</w:t>
      </w:r>
      <w:r w:rsidR="00EF0629">
        <w:rPr>
          <w:rFonts w:cs="Georgia"/>
        </w:rPr>
        <w:t>,</w:t>
      </w:r>
      <w:r w:rsidR="00990EF5" w:rsidRPr="00BB5BC9">
        <w:rPr>
          <w:rFonts w:cs="Georgia"/>
        </w:rPr>
        <w:t xml:space="preserve"> </w:t>
      </w:r>
      <w:r w:rsidRPr="00BB5BC9">
        <w:rPr>
          <w:rFonts w:cs="Georgia"/>
        </w:rPr>
        <w:t>a</w:t>
      </w:r>
      <w:r w:rsidR="000943EC">
        <w:rPr>
          <w:rFonts w:cs="Georgia"/>
        </w:rPr>
        <w:t xml:space="preserve"> </w:t>
      </w:r>
      <w:r w:rsidRPr="00BB5BC9">
        <w:rPr>
          <w:rFonts w:cs="Georgia"/>
        </w:rPr>
        <w:t>n</w:t>
      </w:r>
      <w:r w:rsidR="000943EC">
        <w:rPr>
          <w:rFonts w:cs="Georgia"/>
        </w:rPr>
        <w:t>ote</w:t>
      </w:r>
      <w:r w:rsidRPr="00BB5BC9">
        <w:rPr>
          <w:rFonts w:cs="Georgia"/>
        </w:rPr>
        <w:t xml:space="preserve"> issuance vehicle issues </w:t>
      </w:r>
      <w:r>
        <w:rPr>
          <w:rFonts w:cs="Georgia"/>
        </w:rPr>
        <w:t>structured securities</w:t>
      </w:r>
      <w:r w:rsidR="000943EC">
        <w:rPr>
          <w:rFonts w:cs="Georgia"/>
        </w:rPr>
        <w:t xml:space="preserve">, </w:t>
      </w:r>
      <w:r w:rsidR="00990EF5">
        <w:rPr>
          <w:rFonts w:cs="Georgia"/>
        </w:rPr>
        <w:t>which would constitute financial instruments for the purposes of Article 13(1)</w:t>
      </w:r>
      <w:r>
        <w:rPr>
          <w:rFonts w:cs="Georgia"/>
        </w:rPr>
        <w:t>.  The</w:t>
      </w:r>
      <w:r w:rsidR="00BB7543">
        <w:rPr>
          <w:rFonts w:cs="Georgia"/>
        </w:rPr>
        <w:t xml:space="preserve"> arrangement for such transactions </w:t>
      </w:r>
      <w:r w:rsidR="0004592A">
        <w:rPr>
          <w:rFonts w:cs="Georgia"/>
        </w:rPr>
        <w:t>could be</w:t>
      </w:r>
      <w:r w:rsidR="00BB7543">
        <w:rPr>
          <w:rFonts w:cs="Georgia"/>
        </w:rPr>
        <w:t xml:space="preserve"> that the</w:t>
      </w:r>
      <w:r>
        <w:rPr>
          <w:rFonts w:cs="Georgia"/>
        </w:rPr>
        <w:t xml:space="preserve"> securities </w:t>
      </w:r>
      <w:r w:rsidR="0004592A">
        <w:rPr>
          <w:rFonts w:cs="Georgia"/>
        </w:rPr>
        <w:t>are</w:t>
      </w:r>
      <w:r>
        <w:rPr>
          <w:rFonts w:cs="Georgia"/>
        </w:rPr>
        <w:t xml:space="preserve"> </w:t>
      </w:r>
      <w:r w:rsidR="00BB7543">
        <w:rPr>
          <w:rFonts w:cs="Georgia"/>
        </w:rPr>
        <w:t xml:space="preserve">bought by a </w:t>
      </w:r>
      <w:r w:rsidR="00054F1B">
        <w:rPr>
          <w:rFonts w:cs="Georgia"/>
        </w:rPr>
        <w:t>"</w:t>
      </w:r>
      <w:r w:rsidR="00BB7543">
        <w:rPr>
          <w:rFonts w:cs="Georgia"/>
        </w:rPr>
        <w:t>dealer</w:t>
      </w:r>
      <w:r w:rsidR="00054F1B">
        <w:rPr>
          <w:rFonts w:cs="Georgia"/>
        </w:rPr>
        <w:t>"</w:t>
      </w:r>
      <w:r w:rsidR="00BB7543">
        <w:rPr>
          <w:rFonts w:cs="Georgia"/>
        </w:rPr>
        <w:t>, who would in turn sell the</w:t>
      </w:r>
      <w:r w:rsidR="000943EC">
        <w:rPr>
          <w:rFonts w:cs="Georgia"/>
        </w:rPr>
        <w:t xml:space="preserve">m </w:t>
      </w:r>
      <w:r w:rsidR="00BB7543">
        <w:rPr>
          <w:rFonts w:cs="Georgia"/>
        </w:rPr>
        <w:t xml:space="preserve">to the client.  Therefore it </w:t>
      </w:r>
      <w:r w:rsidR="0004592A">
        <w:rPr>
          <w:rFonts w:cs="Georgia"/>
        </w:rPr>
        <w:t xml:space="preserve">could be </w:t>
      </w:r>
      <w:r w:rsidR="00BB7543">
        <w:rPr>
          <w:rFonts w:cs="Georgia"/>
        </w:rPr>
        <w:t>the dealer</w:t>
      </w:r>
      <w:r w:rsidR="000943EC">
        <w:rPr>
          <w:rFonts w:cs="Georgia"/>
        </w:rPr>
        <w:t>, rather than the issuer,</w:t>
      </w:r>
      <w:r w:rsidR="00BB7543">
        <w:rPr>
          <w:rFonts w:cs="Georgia"/>
        </w:rPr>
        <w:t xml:space="preserve"> which</w:t>
      </w:r>
      <w:r w:rsidRPr="00BB5BC9">
        <w:rPr>
          <w:rFonts w:cs="Georgia"/>
        </w:rPr>
        <w:t xml:space="preserve"> faces the </w:t>
      </w:r>
      <w:r w:rsidR="00BB7543">
        <w:rPr>
          <w:rFonts w:cs="Georgia"/>
        </w:rPr>
        <w:t xml:space="preserve">end </w:t>
      </w:r>
      <w:r w:rsidRPr="00BB5BC9">
        <w:rPr>
          <w:rFonts w:cs="Georgia"/>
        </w:rPr>
        <w:t>client and is</w:t>
      </w:r>
      <w:r w:rsidR="00BB7543">
        <w:rPr>
          <w:rFonts w:cs="Georgia"/>
        </w:rPr>
        <w:t xml:space="preserve"> </w:t>
      </w:r>
      <w:proofErr w:type="spellStart"/>
      <w:r w:rsidR="00BB7543">
        <w:rPr>
          <w:rFonts w:cs="Georgia"/>
        </w:rPr>
        <w:t>MiFID</w:t>
      </w:r>
      <w:proofErr w:type="spellEnd"/>
      <w:r w:rsidR="00BB7543">
        <w:rPr>
          <w:rFonts w:cs="Georgia"/>
        </w:rPr>
        <w:t xml:space="preserve"> </w:t>
      </w:r>
      <w:r w:rsidR="00990EF5">
        <w:rPr>
          <w:rFonts w:cs="Georgia"/>
        </w:rPr>
        <w:t>authorised</w:t>
      </w:r>
      <w:r w:rsidR="00BB7543">
        <w:rPr>
          <w:rFonts w:cs="Georgia"/>
        </w:rPr>
        <w:t xml:space="preserve"> for that client</w:t>
      </w:r>
      <w:r w:rsidR="000943EC">
        <w:rPr>
          <w:rFonts w:cs="Georgia"/>
        </w:rPr>
        <w:noBreakHyphen/>
      </w:r>
      <w:proofErr w:type="spellStart"/>
      <w:r w:rsidRPr="00BB5BC9">
        <w:rPr>
          <w:rFonts w:cs="Georgia"/>
        </w:rPr>
        <w:t>facing</w:t>
      </w:r>
      <w:proofErr w:type="spellEnd"/>
      <w:r w:rsidRPr="00BB5BC9">
        <w:rPr>
          <w:rFonts w:cs="Georgia"/>
        </w:rPr>
        <w:t xml:space="preserve"> role.  </w:t>
      </w:r>
      <w:r w:rsidR="00BB7543">
        <w:rPr>
          <w:rFonts w:cs="Georgia"/>
        </w:rPr>
        <w:t>We do not believe it is within the intention of the TD for the</w:t>
      </w:r>
      <w:r w:rsidRPr="00BB5BC9">
        <w:rPr>
          <w:rFonts w:cs="Georgia"/>
        </w:rPr>
        <w:t xml:space="preserve"> issuer to</w:t>
      </w:r>
      <w:r w:rsidR="00BB7543">
        <w:rPr>
          <w:rFonts w:cs="Georgia"/>
        </w:rPr>
        <w:t xml:space="preserve"> have to</w:t>
      </w:r>
      <w:r w:rsidRPr="00BB5BC9">
        <w:rPr>
          <w:rFonts w:cs="Georgia"/>
        </w:rPr>
        <w:t xml:space="preserve"> report</w:t>
      </w:r>
      <w:r w:rsidR="00990EF5">
        <w:rPr>
          <w:rFonts w:cs="Georgia"/>
        </w:rPr>
        <w:t xml:space="preserve"> its hedge position </w:t>
      </w:r>
      <w:r w:rsidRPr="00BB5BC9">
        <w:rPr>
          <w:rFonts w:cs="Georgia"/>
        </w:rPr>
        <w:t>s</w:t>
      </w:r>
      <w:r w:rsidR="00990EF5">
        <w:rPr>
          <w:rFonts w:cs="Georgia"/>
        </w:rPr>
        <w:t>ince</w:t>
      </w:r>
      <w:r w:rsidRPr="00BB5BC9">
        <w:rPr>
          <w:rFonts w:cs="Georgia"/>
        </w:rPr>
        <w:t xml:space="preserve"> that </w:t>
      </w:r>
      <w:r w:rsidR="00BB7543">
        <w:rPr>
          <w:rFonts w:cs="Georgia"/>
        </w:rPr>
        <w:t>would be duplicative of the end client</w:t>
      </w:r>
      <w:r w:rsidR="00054F1B">
        <w:rPr>
          <w:rFonts w:cs="Georgia"/>
        </w:rPr>
        <w:t>'</w:t>
      </w:r>
      <w:r w:rsidR="00BB7543">
        <w:rPr>
          <w:rFonts w:cs="Georgia"/>
        </w:rPr>
        <w:t>s</w:t>
      </w:r>
      <w:r w:rsidR="00990EF5">
        <w:rPr>
          <w:rFonts w:cs="Georgia"/>
        </w:rPr>
        <w:t xml:space="preserve"> disclosure</w:t>
      </w:r>
      <w:r w:rsidR="0004592A">
        <w:rPr>
          <w:rFonts w:cs="Georgia"/>
        </w:rPr>
        <w:t xml:space="preserve"> under Article 13, since the holding would be to hedge a client-serving transaction (being the issuance of the note)</w:t>
      </w:r>
      <w:r w:rsidR="00EF0629">
        <w:rPr>
          <w:rFonts w:cs="Georgia"/>
        </w:rPr>
        <w:t>.  T</w:t>
      </w:r>
      <w:r w:rsidR="00A84057">
        <w:rPr>
          <w:rFonts w:cs="Georgia"/>
        </w:rPr>
        <w:t xml:space="preserve">herefore such a vehicle should not need to be responding to </w:t>
      </w:r>
      <w:r w:rsidR="00EF0629">
        <w:rPr>
          <w:rFonts w:cs="Georgia"/>
        </w:rPr>
        <w:t xml:space="preserve">its </w:t>
      </w:r>
      <w:r w:rsidR="00A84057">
        <w:rPr>
          <w:rFonts w:cs="Georgia"/>
        </w:rPr>
        <w:t>own client’s requests in order to use the exemption</w:t>
      </w:r>
      <w:r w:rsidR="00EF0629">
        <w:rPr>
          <w:rFonts w:cs="Georgia"/>
        </w:rPr>
        <w:t xml:space="preserve">.  We </w:t>
      </w:r>
      <w:r w:rsidR="007C3986">
        <w:rPr>
          <w:rFonts w:cs="Georgia"/>
        </w:rPr>
        <w:t>consider</w:t>
      </w:r>
      <w:r w:rsidR="00EF0629">
        <w:rPr>
          <w:rFonts w:cs="Georgia"/>
        </w:rPr>
        <w:t xml:space="preserve"> </w:t>
      </w:r>
      <w:r w:rsidR="00A84057">
        <w:rPr>
          <w:rFonts w:cs="Georgia"/>
        </w:rPr>
        <w:t>that the exemption</w:t>
      </w:r>
      <w:r w:rsidR="007C3986">
        <w:rPr>
          <w:rFonts w:cs="Georgia"/>
        </w:rPr>
        <w:t xml:space="preserve"> should be adjusted to reflect</w:t>
      </w:r>
      <w:r w:rsidR="00EF0629">
        <w:rPr>
          <w:rFonts w:cs="Georgia"/>
        </w:rPr>
        <w:t xml:space="preserve"> </w:t>
      </w:r>
      <w:r w:rsidR="00A84057">
        <w:rPr>
          <w:rFonts w:cs="Georgia"/>
        </w:rPr>
        <w:t>that</w:t>
      </w:r>
      <w:r w:rsidR="007C3986">
        <w:rPr>
          <w:rFonts w:cs="Georgia"/>
        </w:rPr>
        <w:t xml:space="preserve"> the</w:t>
      </w:r>
      <w:r w:rsidR="00A84057">
        <w:rPr>
          <w:rFonts w:cs="Georgia"/>
        </w:rPr>
        <w:t xml:space="preserve"> “client” for the purposes of the </w:t>
      </w:r>
      <w:r w:rsidR="007C3986">
        <w:rPr>
          <w:rFonts w:cs="Georgia"/>
        </w:rPr>
        <w:t xml:space="preserve">client-serving </w:t>
      </w:r>
      <w:r w:rsidR="00A84057">
        <w:rPr>
          <w:rFonts w:cs="Georgia"/>
        </w:rPr>
        <w:t xml:space="preserve">exemption </w:t>
      </w:r>
      <w:r w:rsidR="007C3986">
        <w:rPr>
          <w:rFonts w:cs="Georgia"/>
        </w:rPr>
        <w:t>could be</w:t>
      </w:r>
      <w:r w:rsidR="00A84057">
        <w:rPr>
          <w:rFonts w:cs="Georgia"/>
        </w:rPr>
        <w:t xml:space="preserve"> a client of an affiliate.</w:t>
      </w:r>
    </w:p>
    <w:p w:rsidR="00F229A2" w:rsidRDefault="00AE444D" w:rsidP="00054F1B">
      <w:pPr>
        <w:autoSpaceDE w:val="0"/>
        <w:autoSpaceDN w:val="0"/>
        <w:adjustRightInd w:val="0"/>
        <w:spacing w:after="180" w:line="240" w:lineRule="auto"/>
        <w:jc w:val="both"/>
        <w:rPr>
          <w:rFonts w:cs="Georgia"/>
        </w:rPr>
      </w:pPr>
      <w:r>
        <w:rPr>
          <w:rFonts w:cs="Georgia"/>
        </w:rPr>
        <w:t>The</w:t>
      </w:r>
      <w:r w:rsidRPr="00AE444D">
        <w:t xml:space="preserve"> </w:t>
      </w:r>
      <w:r w:rsidRPr="00AE444D">
        <w:rPr>
          <w:rFonts w:cs="Georgia"/>
        </w:rPr>
        <w:t>non-MIFID authorised firms</w:t>
      </w:r>
      <w:r w:rsidR="00F229A2" w:rsidRPr="00DF732A">
        <w:rPr>
          <w:rFonts w:cs="Georgia"/>
        </w:rPr>
        <w:t xml:space="preserve"> would</w:t>
      </w:r>
      <w:r>
        <w:rPr>
          <w:rFonts w:cs="Georgia"/>
        </w:rPr>
        <w:t xml:space="preserve"> incur</w:t>
      </w:r>
      <w:r w:rsidR="00F229A2" w:rsidRPr="00DF732A">
        <w:rPr>
          <w:rFonts w:cs="Georgia"/>
        </w:rPr>
        <w:t xml:space="preserve"> additional costs</w:t>
      </w:r>
      <w:r>
        <w:rPr>
          <w:rFonts w:cs="Georgia"/>
        </w:rPr>
        <w:t xml:space="preserve"> of compliance if</w:t>
      </w:r>
      <w:r w:rsidR="00F229A2" w:rsidRPr="00DF732A">
        <w:rPr>
          <w:rFonts w:cs="Georgia"/>
        </w:rPr>
        <w:t xml:space="preserve"> the exemption</w:t>
      </w:r>
      <w:r>
        <w:rPr>
          <w:rFonts w:cs="Georgia"/>
        </w:rPr>
        <w:t xml:space="preserve"> were not to extend</w:t>
      </w:r>
      <w:r w:rsidR="00F229A2" w:rsidRPr="00DF732A">
        <w:rPr>
          <w:rFonts w:cs="Georgia"/>
        </w:rPr>
        <w:t xml:space="preserve"> to them.</w:t>
      </w:r>
    </w:p>
    <w:p w:rsidR="00BB5BC9" w:rsidRPr="00DF732A" w:rsidRDefault="000943EC" w:rsidP="00054F1B">
      <w:pPr>
        <w:autoSpaceDE w:val="0"/>
        <w:autoSpaceDN w:val="0"/>
        <w:adjustRightInd w:val="0"/>
        <w:spacing w:after="180" w:line="240" w:lineRule="auto"/>
        <w:jc w:val="both"/>
        <w:rPr>
          <w:rFonts w:cs="Georgia"/>
        </w:rPr>
      </w:pPr>
      <w:r>
        <w:rPr>
          <w:rFonts w:cs="Georgia"/>
        </w:rPr>
        <w:t>In addition, we note that the drafting of Q19 conflates non-</w:t>
      </w:r>
      <w:proofErr w:type="spellStart"/>
      <w:r>
        <w:rPr>
          <w:rFonts w:cs="Georgia"/>
        </w:rPr>
        <w:t>MiFID</w:t>
      </w:r>
      <w:proofErr w:type="spellEnd"/>
      <w:r>
        <w:rPr>
          <w:rFonts w:cs="Georgia"/>
        </w:rPr>
        <w:t xml:space="preserve"> authorised entities with non-EU entities and that this is not consistent with the TD</w:t>
      </w:r>
      <w:r w:rsidR="006C13B2">
        <w:rPr>
          <w:rFonts w:cs="Georgia"/>
        </w:rPr>
        <w:t>, since not all exemptions</w:t>
      </w:r>
      <w:r w:rsidR="0004592A">
        <w:rPr>
          <w:rFonts w:cs="Georgia"/>
        </w:rPr>
        <w:t xml:space="preserve"> contained in Articles 9(4), (5) and (6)</w:t>
      </w:r>
      <w:r w:rsidR="006C13B2">
        <w:rPr>
          <w:rFonts w:cs="Georgia"/>
        </w:rPr>
        <w:t xml:space="preserve"> require </w:t>
      </w:r>
      <w:proofErr w:type="spellStart"/>
      <w:r w:rsidR="006C13B2">
        <w:rPr>
          <w:rFonts w:cs="Georgia"/>
        </w:rPr>
        <w:t>MiFID</w:t>
      </w:r>
      <w:proofErr w:type="spellEnd"/>
      <w:r w:rsidR="006C13B2">
        <w:rPr>
          <w:rFonts w:cs="Georgia"/>
        </w:rPr>
        <w:t xml:space="preserve"> authorisation</w:t>
      </w:r>
      <w:r>
        <w:rPr>
          <w:rFonts w:cs="Georgia"/>
        </w:rPr>
        <w:t>.  Where an exemption</w:t>
      </w:r>
      <w:r w:rsidR="006C13B2">
        <w:rPr>
          <w:rFonts w:cs="Georgia"/>
        </w:rPr>
        <w:t xml:space="preserve"> under the TD</w:t>
      </w:r>
      <w:r>
        <w:rPr>
          <w:rFonts w:cs="Georgia"/>
        </w:rPr>
        <w:t xml:space="preserve"> is aimed at </w:t>
      </w:r>
      <w:proofErr w:type="spellStart"/>
      <w:r>
        <w:rPr>
          <w:rFonts w:cs="Georgia"/>
        </w:rPr>
        <w:t>MiFID</w:t>
      </w:r>
      <w:proofErr w:type="spellEnd"/>
      <w:r>
        <w:rPr>
          <w:rFonts w:cs="Georgia"/>
        </w:rPr>
        <w:t xml:space="preserve"> authorised firms, it specifically says </w:t>
      </w:r>
      <w:r w:rsidR="0004592A">
        <w:rPr>
          <w:rFonts w:cs="Georgia"/>
        </w:rPr>
        <w:t>so, as in the market</w:t>
      </w:r>
      <w:r w:rsidR="006C13B2">
        <w:rPr>
          <w:rFonts w:cs="Georgia"/>
        </w:rPr>
        <w:t xml:space="preserve"> making </w:t>
      </w:r>
      <w:r w:rsidR="0004592A">
        <w:rPr>
          <w:rFonts w:cs="Georgia"/>
        </w:rPr>
        <w:t>exemption under Article 9(5), whereas t</w:t>
      </w:r>
      <w:r w:rsidR="006C13B2">
        <w:rPr>
          <w:rFonts w:cs="Georgia"/>
        </w:rPr>
        <w:t xml:space="preserve">he </w:t>
      </w:r>
      <w:r w:rsidR="0004592A">
        <w:rPr>
          <w:rFonts w:cs="Georgia"/>
        </w:rPr>
        <w:t>custody exemption under Article </w:t>
      </w:r>
      <w:r w:rsidR="006C13B2">
        <w:rPr>
          <w:rFonts w:cs="Georgia"/>
        </w:rPr>
        <w:t xml:space="preserve">9(4) does not </w:t>
      </w:r>
      <w:r w:rsidR="0004592A">
        <w:rPr>
          <w:rFonts w:cs="Georgia"/>
        </w:rPr>
        <w:t>require</w:t>
      </w:r>
      <w:r w:rsidR="006C13B2">
        <w:rPr>
          <w:rFonts w:cs="Georgia"/>
        </w:rPr>
        <w:t xml:space="preserve"> </w:t>
      </w:r>
      <w:proofErr w:type="spellStart"/>
      <w:r w:rsidR="006C13B2">
        <w:rPr>
          <w:rFonts w:cs="Georgia"/>
        </w:rPr>
        <w:t>MiFID</w:t>
      </w:r>
      <w:proofErr w:type="spellEnd"/>
      <w:r w:rsidR="006C13B2">
        <w:rPr>
          <w:rFonts w:cs="Georgia"/>
        </w:rPr>
        <w:t xml:space="preserve"> authorisation.</w:t>
      </w:r>
      <w:r w:rsidR="0004592A">
        <w:rPr>
          <w:rFonts w:cs="Georgia"/>
        </w:rPr>
        <w:t xml:space="preserve">  </w:t>
      </w:r>
      <w:r w:rsidR="0004592A" w:rsidRPr="0004592A">
        <w:rPr>
          <w:rFonts w:cs="Georgia"/>
        </w:rPr>
        <w:t>The language of Article 13(4) refers to "a natur</w:t>
      </w:r>
      <w:r w:rsidR="0004592A">
        <w:rPr>
          <w:rFonts w:cs="Georgia"/>
        </w:rPr>
        <w:t>al person or a legal entity"</w:t>
      </w:r>
      <w:r w:rsidR="0004592A" w:rsidRPr="0004592A">
        <w:rPr>
          <w:rFonts w:cs="Georgia"/>
        </w:rPr>
        <w:t xml:space="preserve">, accordingly we </w:t>
      </w:r>
      <w:r w:rsidR="0004592A">
        <w:rPr>
          <w:rFonts w:cs="Georgia"/>
        </w:rPr>
        <w:t>take</w:t>
      </w:r>
      <w:r w:rsidR="0004592A" w:rsidRPr="0004592A">
        <w:rPr>
          <w:rFonts w:cs="Georgia"/>
        </w:rPr>
        <w:t xml:space="preserve"> the view that the client-serving exemption should be construed as apply</w:t>
      </w:r>
      <w:r w:rsidR="0004592A">
        <w:rPr>
          <w:rFonts w:cs="Georgia"/>
        </w:rPr>
        <w:t>ing to non-</w:t>
      </w:r>
      <w:proofErr w:type="spellStart"/>
      <w:r w:rsidR="0004592A">
        <w:rPr>
          <w:rFonts w:cs="Georgia"/>
        </w:rPr>
        <w:t>Mi</w:t>
      </w:r>
      <w:r w:rsidR="0004592A" w:rsidRPr="0004592A">
        <w:rPr>
          <w:rFonts w:cs="Georgia"/>
        </w:rPr>
        <w:t>FID</w:t>
      </w:r>
      <w:proofErr w:type="spellEnd"/>
      <w:r w:rsidR="0004592A" w:rsidRPr="0004592A">
        <w:rPr>
          <w:rFonts w:cs="Georgia"/>
        </w:rPr>
        <w:t xml:space="preserve"> entities, whether EU or non-EU, </w:t>
      </w:r>
      <w:proofErr w:type="gramStart"/>
      <w:r w:rsidR="0004592A" w:rsidRPr="0004592A">
        <w:rPr>
          <w:rFonts w:cs="Georgia"/>
        </w:rPr>
        <w:t>so</w:t>
      </w:r>
      <w:proofErr w:type="gramEnd"/>
      <w:r w:rsidR="0004592A" w:rsidRPr="0004592A">
        <w:rPr>
          <w:rFonts w:cs="Georgia"/>
        </w:rPr>
        <w:t xml:space="preserve"> long as they are in the same grou</w:t>
      </w:r>
      <w:r w:rsidR="0004592A">
        <w:rPr>
          <w:rFonts w:cs="Georgia"/>
        </w:rPr>
        <w:t xml:space="preserve">p as a </w:t>
      </w:r>
      <w:proofErr w:type="spellStart"/>
      <w:r w:rsidR="0004592A">
        <w:rPr>
          <w:rFonts w:cs="Georgia"/>
        </w:rPr>
        <w:t>MiFID</w:t>
      </w:r>
      <w:proofErr w:type="spellEnd"/>
      <w:r w:rsidR="0004592A">
        <w:rPr>
          <w:rFonts w:cs="Georgia"/>
        </w:rPr>
        <w:t>-authorised entity.</w:t>
      </w:r>
    </w:p>
    <w:p w:rsidR="007166E7" w:rsidRPr="00DF732A" w:rsidRDefault="007166E7" w:rsidP="00054F1B">
      <w:pPr>
        <w:pStyle w:val="Default"/>
        <w:keepNext/>
        <w:spacing w:after="180"/>
        <w:jc w:val="both"/>
        <w:rPr>
          <w:rFonts w:ascii="Calibri" w:hAnsi="Calibri" w:cs="Georgia"/>
          <w:b/>
          <w:bCs/>
          <w:i/>
          <w:sz w:val="22"/>
          <w:szCs w:val="22"/>
          <w:lang w:eastAsia="en-GB"/>
        </w:rPr>
      </w:pPr>
      <w:r w:rsidRPr="00DF732A">
        <w:rPr>
          <w:rFonts w:ascii="Calibri" w:hAnsi="Calibri" w:cs="Georgia"/>
          <w:b/>
          <w:bCs/>
          <w:i/>
          <w:sz w:val="22"/>
          <w:szCs w:val="22"/>
          <w:lang w:eastAsia="en-GB"/>
        </w:rPr>
        <w:t>Q20: Do you think that the proposed methods of controlling client-serving activities are effective? Do you envisage other control mechanisms which could be appropriate for financial intermediaries who wish to make use of the exemption?</w:t>
      </w:r>
    </w:p>
    <w:p w:rsidR="00F229A2" w:rsidRPr="00DF732A" w:rsidRDefault="00AA0C6C" w:rsidP="001867AF">
      <w:pPr>
        <w:autoSpaceDE w:val="0"/>
        <w:autoSpaceDN w:val="0"/>
        <w:adjustRightInd w:val="0"/>
        <w:spacing w:after="180" w:line="240" w:lineRule="auto"/>
        <w:jc w:val="both"/>
        <w:rPr>
          <w:rFonts w:cs="Georgia"/>
        </w:rPr>
      </w:pPr>
      <w:r>
        <w:rPr>
          <w:rFonts w:cs="Georgia"/>
        </w:rPr>
        <w:t>We</w:t>
      </w:r>
      <w:r w:rsidR="001867AF" w:rsidRPr="001867AF">
        <w:rPr>
          <w:rFonts w:cs="Georgia"/>
        </w:rPr>
        <w:t xml:space="preserve"> take the view that the notification that these entities have to make in order to </w:t>
      </w:r>
      <w:r w:rsidR="00F6161B">
        <w:rPr>
          <w:rFonts w:cs="Georgia"/>
        </w:rPr>
        <w:t>rely on</w:t>
      </w:r>
      <w:r w:rsidR="001867AF" w:rsidRPr="001867AF">
        <w:rPr>
          <w:rFonts w:cs="Georgia"/>
        </w:rPr>
        <w:t xml:space="preserve"> the exemption should be sent to their home Member State regulator rather than to the Member State of the issuer. </w:t>
      </w:r>
      <w:r w:rsidR="00F6161B">
        <w:rPr>
          <w:rFonts w:cs="Georgia"/>
        </w:rPr>
        <w:t>A third country entity</w:t>
      </w:r>
      <w:r w:rsidR="00F6161B" w:rsidRPr="00F6161B">
        <w:rPr>
          <w:rFonts w:cs="Georgia"/>
        </w:rPr>
        <w:t xml:space="preserve"> should send the notification to the competent authority of the main trading venue in which it trades within the European Union rather than to the Member State of the issuer </w:t>
      </w:r>
      <w:r w:rsidR="001867AF" w:rsidRPr="001867AF">
        <w:rPr>
          <w:rFonts w:cs="Georgia"/>
        </w:rPr>
        <w:t>The Member State regulator</w:t>
      </w:r>
      <w:r w:rsidR="00F6161B">
        <w:rPr>
          <w:rFonts w:cs="Georgia"/>
        </w:rPr>
        <w:t xml:space="preserve"> receiving such notification</w:t>
      </w:r>
      <w:r w:rsidR="001867AF" w:rsidRPr="001867AF">
        <w:rPr>
          <w:rFonts w:cs="Georgia"/>
        </w:rPr>
        <w:t xml:space="preserve"> should then coordinate with the other regulators of the relevant issuers</w:t>
      </w:r>
      <w:r w:rsidR="00F6161B">
        <w:rPr>
          <w:rFonts w:cs="Georgia"/>
        </w:rPr>
        <w:t xml:space="preserve"> or ESMA accordingly</w:t>
      </w:r>
      <w:r w:rsidR="001867AF" w:rsidRPr="001867AF">
        <w:rPr>
          <w:rFonts w:cs="Georgia"/>
        </w:rPr>
        <w:t xml:space="preserve">.  </w:t>
      </w:r>
    </w:p>
    <w:p w:rsidR="00F229A2" w:rsidRPr="00DF732A" w:rsidRDefault="00F229A2" w:rsidP="00054F1B">
      <w:pPr>
        <w:autoSpaceDE w:val="0"/>
        <w:autoSpaceDN w:val="0"/>
        <w:adjustRightInd w:val="0"/>
        <w:spacing w:after="180" w:line="240" w:lineRule="auto"/>
        <w:jc w:val="both"/>
        <w:rPr>
          <w:rFonts w:cs="Georgia"/>
          <w:b/>
          <w:i/>
        </w:rPr>
      </w:pPr>
      <w:r w:rsidRPr="00DF732A">
        <w:rPr>
          <w:rFonts w:cs="Georgia"/>
          <w:b/>
          <w:i/>
        </w:rPr>
        <w:t xml:space="preserve">Q21: When does a financial instrument have an </w:t>
      </w:r>
      <w:r w:rsidR="00054F1B">
        <w:rPr>
          <w:rFonts w:cs="Georgia"/>
          <w:b/>
          <w:i/>
        </w:rPr>
        <w:t>"</w:t>
      </w:r>
      <w:r w:rsidRPr="00DF732A">
        <w:rPr>
          <w:rFonts w:cs="Georgia"/>
          <w:b/>
          <w:i/>
        </w:rPr>
        <w:t>economic effect similar</w:t>
      </w:r>
      <w:r w:rsidR="00054F1B">
        <w:rPr>
          <w:rFonts w:cs="Georgia"/>
          <w:b/>
          <w:i/>
        </w:rPr>
        <w:t>"</w:t>
      </w:r>
      <w:r w:rsidRPr="00DF732A">
        <w:rPr>
          <w:rFonts w:cs="Georgia"/>
          <w:b/>
          <w:i/>
        </w:rPr>
        <w:t xml:space="preserve"> to that of shares or entitlements to acquire shares? Do you agree with ESMA</w:t>
      </w:r>
      <w:r w:rsidR="00054F1B">
        <w:rPr>
          <w:rFonts w:cs="Georgia"/>
          <w:b/>
          <w:i/>
        </w:rPr>
        <w:t>'</w:t>
      </w:r>
      <w:r w:rsidRPr="00DF732A">
        <w:rPr>
          <w:rFonts w:cs="Georgia"/>
          <w:b/>
          <w:i/>
        </w:rPr>
        <w:t xml:space="preserve">s description of possible cases? </w:t>
      </w:r>
    </w:p>
    <w:p w:rsidR="00F229A2" w:rsidRPr="00DF732A" w:rsidRDefault="00462B50" w:rsidP="00054F1B">
      <w:pPr>
        <w:autoSpaceDE w:val="0"/>
        <w:autoSpaceDN w:val="0"/>
        <w:adjustRightInd w:val="0"/>
        <w:spacing w:after="180" w:line="240" w:lineRule="auto"/>
        <w:jc w:val="both"/>
        <w:rPr>
          <w:rFonts w:cs="Georgia"/>
        </w:rPr>
      </w:pPr>
      <w:r w:rsidRPr="00462B50">
        <w:rPr>
          <w:rFonts w:cs="Georgia"/>
        </w:rPr>
        <w:lastRenderedPageBreak/>
        <w:t>The inclusion of repurchase and stock lending agreements in the list has the effect that routine stock lending or repo operations by investors would trigger notifications, since a shareholder's long position would change from a physical holding of shares to a financial instrument (being the right of recall of the shares under the stock loan or repo agreement), whereas a stock loan or repo operates as a disposal with a simultaneous agreement to re</w:t>
      </w:r>
      <w:r>
        <w:rPr>
          <w:rFonts w:cs="Georgia"/>
        </w:rPr>
        <w:t>-</w:t>
      </w:r>
      <w:r w:rsidRPr="00462B50">
        <w:rPr>
          <w:rFonts w:cs="Georgia"/>
        </w:rPr>
        <w:t xml:space="preserve">acquire the shares at a later date. </w:t>
      </w:r>
      <w:r>
        <w:rPr>
          <w:rFonts w:cs="Georgia"/>
        </w:rPr>
        <w:t xml:space="preserve"> </w:t>
      </w:r>
      <w:r w:rsidRPr="00462B50">
        <w:rPr>
          <w:rFonts w:cs="Georgia"/>
        </w:rPr>
        <w:t>This would lead to a large volume of disclosures of a technical nature reflecting routine stock lending or repo activity where there is no change in the underlying economic exposure</w:t>
      </w:r>
      <w:r>
        <w:rPr>
          <w:rFonts w:cs="Georgia"/>
        </w:rPr>
        <w:t xml:space="preserve">. </w:t>
      </w:r>
      <w:r w:rsidRPr="00462B50">
        <w:rPr>
          <w:rFonts w:cs="Georgia"/>
        </w:rPr>
        <w:t xml:space="preserve"> </w:t>
      </w:r>
      <w:r w:rsidR="001E0A97">
        <w:rPr>
          <w:rFonts w:cs="Georgia"/>
        </w:rPr>
        <w:t>In addition, we recommend that it should be clarified that stock loan</w:t>
      </w:r>
      <w:r>
        <w:rPr>
          <w:rFonts w:cs="Georgia"/>
        </w:rPr>
        <w:t xml:space="preserve"> and repo</w:t>
      </w:r>
      <w:r w:rsidR="001E0A97">
        <w:rPr>
          <w:rFonts w:cs="Georgia"/>
        </w:rPr>
        <w:t xml:space="preserve"> transactions are not </w:t>
      </w:r>
      <w:r>
        <w:rPr>
          <w:rFonts w:cs="Georgia"/>
        </w:rPr>
        <w:t>included in limb (g) of Article 13</w:t>
      </w:r>
      <w:r w:rsidR="001E0A97">
        <w:rPr>
          <w:rFonts w:cs="Georgia"/>
        </w:rPr>
        <w:t>(1b)</w:t>
      </w:r>
      <w:r w:rsidR="00E82DF5" w:rsidRPr="00DF732A">
        <w:rPr>
          <w:rFonts w:cs="Georgia"/>
        </w:rPr>
        <w:t>.</w:t>
      </w:r>
      <w:r w:rsidR="001E0A97">
        <w:rPr>
          <w:rFonts w:cs="Georgia"/>
        </w:rPr>
        <w:t xml:space="preserve">  This is in line with the position in the UK, where rule 5.1.1(5) of the FCA</w:t>
      </w:r>
      <w:r w:rsidR="00054F1B">
        <w:rPr>
          <w:rFonts w:cs="Georgia"/>
        </w:rPr>
        <w:t>'</w:t>
      </w:r>
      <w:r w:rsidR="001E0A97">
        <w:rPr>
          <w:rFonts w:cs="Georgia"/>
        </w:rPr>
        <w:t xml:space="preserve">s Disclosure and Transparency Rules specifies that </w:t>
      </w:r>
      <w:r w:rsidR="001E0A97" w:rsidRPr="001E0A97">
        <w:rPr>
          <w:rFonts w:cs="Georgia"/>
        </w:rPr>
        <w:t>a stock-lending agreement which provides for the outright</w:t>
      </w:r>
      <w:r w:rsidR="001E0A97">
        <w:rPr>
          <w:rFonts w:cs="Georgia"/>
        </w:rPr>
        <w:t xml:space="preserve"> </w:t>
      </w:r>
      <w:r w:rsidR="001E0A97" w:rsidRPr="001E0A97">
        <w:rPr>
          <w:rFonts w:cs="Georgia"/>
        </w:rPr>
        <w:t>transfer of securities and which provides the lender with a right</w:t>
      </w:r>
      <w:r w:rsidR="001E0A97">
        <w:rPr>
          <w:rFonts w:cs="Georgia"/>
        </w:rPr>
        <w:t xml:space="preserve"> </w:t>
      </w:r>
      <w:r w:rsidR="001E0A97" w:rsidRPr="001E0A97">
        <w:rPr>
          <w:rFonts w:cs="Georgia"/>
        </w:rPr>
        <w:t>to call for re-delivery of the lent stock (or its equivalent) is not to be taken as a disposal</w:t>
      </w:r>
      <w:r w:rsidR="001E0A97">
        <w:rPr>
          <w:rFonts w:cs="Georgia"/>
        </w:rPr>
        <w:t xml:space="preserve"> by the lender</w:t>
      </w:r>
      <w:r w:rsidR="001E0A97" w:rsidRPr="001E0A97">
        <w:rPr>
          <w:rFonts w:cs="Georgia"/>
        </w:rPr>
        <w:t xml:space="preserve"> of any</w:t>
      </w:r>
      <w:r w:rsidR="001E0A97">
        <w:rPr>
          <w:rFonts w:cs="Georgia"/>
        </w:rPr>
        <w:t xml:space="preserve"> </w:t>
      </w:r>
      <w:r w:rsidR="001E0A97" w:rsidRPr="001E0A97">
        <w:rPr>
          <w:rFonts w:cs="Georgia"/>
        </w:rPr>
        <w:t xml:space="preserve">shares </w:t>
      </w:r>
      <w:r w:rsidR="001E0A97">
        <w:rPr>
          <w:rFonts w:cs="Georgia"/>
        </w:rPr>
        <w:t>that</w:t>
      </w:r>
      <w:r w:rsidR="001E0A97" w:rsidRPr="001E0A97">
        <w:rPr>
          <w:rFonts w:cs="Georgia"/>
        </w:rPr>
        <w:t xml:space="preserve"> </w:t>
      </w:r>
      <w:r w:rsidR="001E0A97">
        <w:rPr>
          <w:rFonts w:cs="Georgia"/>
        </w:rPr>
        <w:t>are</w:t>
      </w:r>
      <w:r w:rsidR="001E0A97" w:rsidRPr="001E0A97">
        <w:rPr>
          <w:rFonts w:cs="Georgia"/>
        </w:rPr>
        <w:t xml:space="preserve"> the subject of the stock loan</w:t>
      </w:r>
      <w:r w:rsidR="001E0A97">
        <w:rPr>
          <w:rFonts w:cs="Georgia"/>
        </w:rPr>
        <w:t>.</w:t>
      </w:r>
    </w:p>
    <w:p w:rsidR="00F229A2" w:rsidRPr="00DF732A" w:rsidRDefault="00054F1B" w:rsidP="00054F1B">
      <w:pPr>
        <w:spacing w:after="180" w:line="240" w:lineRule="auto"/>
        <w:jc w:val="both"/>
        <w:rPr>
          <w:b/>
          <w:i/>
        </w:rPr>
      </w:pPr>
      <w:r>
        <w:rPr>
          <w:rFonts w:cs="Georgia"/>
          <w:b/>
          <w:i/>
        </w:rPr>
        <w:t xml:space="preserve">Q22: </w:t>
      </w:r>
      <w:r w:rsidR="00F229A2" w:rsidRPr="00DF732A">
        <w:rPr>
          <w:rFonts w:cs="Georgia"/>
          <w:b/>
          <w:i/>
        </w:rPr>
        <w:t>Do you think that any other financial instrument should be added to the list? Please provide the reasoning behind your position.</w:t>
      </w:r>
    </w:p>
    <w:p w:rsidR="00F229A2" w:rsidRPr="00DF732A" w:rsidRDefault="00791675" w:rsidP="00054F1B">
      <w:pPr>
        <w:spacing w:after="180" w:line="240" w:lineRule="auto"/>
        <w:jc w:val="both"/>
      </w:pPr>
      <w:r>
        <w:t xml:space="preserve">We </w:t>
      </w:r>
      <w:r w:rsidR="00786A4E">
        <w:t>do</w:t>
      </w:r>
      <w:r>
        <w:t xml:space="preserve"> not suggest </w:t>
      </w:r>
      <w:r w:rsidR="00744976">
        <w:t xml:space="preserve">that </w:t>
      </w:r>
      <w:r>
        <w:t>further in</w:t>
      </w:r>
      <w:r w:rsidR="00182CF3">
        <w:t>struments be added to the list.</w:t>
      </w:r>
    </w:p>
    <w:sectPr w:rsidR="00F229A2" w:rsidRPr="00DF732A" w:rsidSect="00A367F6">
      <w:headerReference w:type="even" r:id="rId11"/>
      <w:headerReference w:type="default" r:id="rId12"/>
      <w:footerReference w:type="even" r:id="rId13"/>
      <w:footerReference w:type="default" r:id="rId14"/>
      <w:headerReference w:type="first" r:id="rId15"/>
      <w:footerReference w:type="first" r:id="rId16"/>
      <w:pgSz w:w="11906" w:h="16838"/>
      <w:pgMar w:top="1134" w:right="1440" w:bottom="1021" w:left="1440" w:header="709" w:footer="709" w:gutter="0"/>
      <w:paperSrc w:first="265" w:other="265"/>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0077" w:rsidRDefault="00120077" w:rsidP="00B90F56">
      <w:pPr>
        <w:spacing w:after="0" w:line="240" w:lineRule="auto"/>
      </w:pPr>
      <w:r>
        <w:separator/>
      </w:r>
    </w:p>
  </w:endnote>
  <w:endnote w:type="continuationSeparator" w:id="0">
    <w:p w:rsidR="00120077" w:rsidRDefault="00120077" w:rsidP="00B90F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0077" w:rsidRDefault="0012007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0077" w:rsidRDefault="00F372D7">
    <w:pPr>
      <w:pStyle w:val="Footer"/>
      <w:jc w:val="center"/>
    </w:pPr>
    <w:r>
      <w:fldChar w:fldCharType="begin"/>
    </w:r>
    <w:r w:rsidR="00120077">
      <w:instrText xml:space="preserve"> PAGE   \* MERGEFORMAT </w:instrText>
    </w:r>
    <w:r>
      <w:fldChar w:fldCharType="separate"/>
    </w:r>
    <w:r w:rsidR="00B35C5F">
      <w:rPr>
        <w:noProof/>
      </w:rPr>
      <w:t>1</w:t>
    </w:r>
    <w:r>
      <w:rPr>
        <w:noProof/>
      </w:rPr>
      <w:fldChar w:fldCharType="end"/>
    </w:r>
  </w:p>
  <w:p w:rsidR="00120077" w:rsidRDefault="0012007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0077" w:rsidRDefault="0012007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0077" w:rsidRDefault="00120077" w:rsidP="00B90F56">
      <w:pPr>
        <w:spacing w:after="0" w:line="240" w:lineRule="auto"/>
      </w:pPr>
      <w:r>
        <w:separator/>
      </w:r>
    </w:p>
  </w:footnote>
  <w:footnote w:type="continuationSeparator" w:id="0">
    <w:p w:rsidR="00120077" w:rsidRDefault="00120077" w:rsidP="00B90F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0077" w:rsidRDefault="0012007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0077" w:rsidRPr="002A6602" w:rsidRDefault="00120077" w:rsidP="002A660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0077" w:rsidRDefault="0012007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F6532"/>
    <w:multiLevelType w:val="hybridMultilevel"/>
    <w:tmpl w:val="BECAECBA"/>
    <w:lvl w:ilvl="0" w:tplc="95E4B9DC">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4BB2711"/>
    <w:multiLevelType w:val="hybridMultilevel"/>
    <w:tmpl w:val="DC2655B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nsid w:val="0A1D3133"/>
    <w:multiLevelType w:val="hybridMultilevel"/>
    <w:tmpl w:val="5994D3EC"/>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6523A6"/>
    <w:multiLevelType w:val="hybridMultilevel"/>
    <w:tmpl w:val="89FAA2A6"/>
    <w:lvl w:ilvl="0" w:tplc="08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C353729"/>
    <w:multiLevelType w:val="hybridMultilevel"/>
    <w:tmpl w:val="CB2CE562"/>
    <w:lvl w:ilvl="0" w:tplc="9C3AEFBE">
      <w:numFmt w:val="bullet"/>
      <w:lvlText w:val="-"/>
      <w:lvlJc w:val="left"/>
      <w:pPr>
        <w:ind w:left="720" w:hanging="360"/>
      </w:pPr>
      <w:rPr>
        <w:rFonts w:ascii="Calibri" w:eastAsia="Calibri" w:hAnsi="Calibri" w:cs="Georg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FD52D9B"/>
    <w:multiLevelType w:val="hybridMultilevel"/>
    <w:tmpl w:val="84C60B6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378507C"/>
    <w:multiLevelType w:val="hybridMultilevel"/>
    <w:tmpl w:val="48321ECE"/>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38100CF9"/>
    <w:multiLevelType w:val="hybridMultilevel"/>
    <w:tmpl w:val="A83EDB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C539AC"/>
    <w:multiLevelType w:val="hybridMultilevel"/>
    <w:tmpl w:val="64BE4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0722461"/>
    <w:multiLevelType w:val="hybridMultilevel"/>
    <w:tmpl w:val="B06A6E2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nsid w:val="412E3906"/>
    <w:multiLevelType w:val="hybridMultilevel"/>
    <w:tmpl w:val="69485EFC"/>
    <w:lvl w:ilvl="0" w:tplc="C0505C6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5D24AFB"/>
    <w:multiLevelType w:val="hybridMultilevel"/>
    <w:tmpl w:val="0C08EADC"/>
    <w:lvl w:ilvl="0" w:tplc="37820130">
      <w:numFmt w:val="bullet"/>
      <w:lvlText w:val="-"/>
      <w:lvlJc w:val="left"/>
      <w:pPr>
        <w:ind w:left="1140" w:hanging="360"/>
      </w:pPr>
      <w:rPr>
        <w:rFonts w:ascii="Calibri" w:eastAsia="Calibri" w:hAnsi="Calibri" w:cs="Calibri"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2">
    <w:nsid w:val="4B721A21"/>
    <w:multiLevelType w:val="hybridMultilevel"/>
    <w:tmpl w:val="A7B0996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BFC4838"/>
    <w:multiLevelType w:val="hybridMultilevel"/>
    <w:tmpl w:val="B3D20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22525B9"/>
    <w:multiLevelType w:val="hybridMultilevel"/>
    <w:tmpl w:val="C65EB728"/>
    <w:lvl w:ilvl="0" w:tplc="DCCC1D72">
      <w:numFmt w:val="bullet"/>
      <w:lvlText w:val="-"/>
      <w:lvlJc w:val="left"/>
      <w:pPr>
        <w:ind w:left="720" w:hanging="360"/>
      </w:pPr>
      <w:rPr>
        <w:rFonts w:ascii="Calibri" w:eastAsia="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E6097B"/>
    <w:multiLevelType w:val="hybridMultilevel"/>
    <w:tmpl w:val="DA6860AA"/>
    <w:lvl w:ilvl="0" w:tplc="A07C39D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C0C09FC"/>
    <w:multiLevelType w:val="hybridMultilevel"/>
    <w:tmpl w:val="F214A7DA"/>
    <w:lvl w:ilvl="0" w:tplc="CD56F324">
      <w:start w:val="1"/>
      <w:numFmt w:val="lowerLetter"/>
      <w:lvlText w:val="%1."/>
      <w:lvlJc w:val="left"/>
      <w:pPr>
        <w:ind w:left="1440" w:hanging="360"/>
      </w:pPr>
      <w:rPr>
        <w:rFonts w:ascii="Helvetica" w:eastAsia="Cambria" w:hAnsi="Helvetica" w:cs="Calibri"/>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13B72E6"/>
    <w:multiLevelType w:val="hybridMultilevel"/>
    <w:tmpl w:val="480699A4"/>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8">
    <w:nsid w:val="61C57D52"/>
    <w:multiLevelType w:val="hybridMultilevel"/>
    <w:tmpl w:val="F746F4BA"/>
    <w:lvl w:ilvl="0" w:tplc="08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2D42025"/>
    <w:multiLevelType w:val="hybridMultilevel"/>
    <w:tmpl w:val="5A1C70BE"/>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nsid w:val="6F1A117D"/>
    <w:multiLevelType w:val="hybridMultilevel"/>
    <w:tmpl w:val="26E0C000"/>
    <w:lvl w:ilvl="0" w:tplc="22E658E2">
      <w:start w:val="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16"/>
  </w:num>
  <w:num w:numId="4">
    <w:abstractNumId w:val="0"/>
  </w:num>
  <w:num w:numId="5">
    <w:abstractNumId w:val="19"/>
  </w:num>
  <w:num w:numId="6">
    <w:abstractNumId w:val="11"/>
  </w:num>
  <w:num w:numId="7">
    <w:abstractNumId w:val="13"/>
  </w:num>
  <w:num w:numId="8">
    <w:abstractNumId w:val="8"/>
  </w:num>
  <w:num w:numId="9">
    <w:abstractNumId w:val="12"/>
  </w:num>
  <w:num w:numId="10">
    <w:abstractNumId w:val="14"/>
  </w:num>
  <w:num w:numId="11">
    <w:abstractNumId w:val="2"/>
  </w:num>
  <w:num w:numId="12">
    <w:abstractNumId w:val="5"/>
  </w:num>
  <w:num w:numId="13">
    <w:abstractNumId w:val="18"/>
  </w:num>
  <w:num w:numId="14">
    <w:abstractNumId w:val="3"/>
  </w:num>
  <w:num w:numId="15">
    <w:abstractNumId w:val="1"/>
  </w:num>
  <w:num w:numId="16">
    <w:abstractNumId w:val="9"/>
  </w:num>
  <w:num w:numId="17">
    <w:abstractNumId w:val="17"/>
  </w:num>
  <w:num w:numId="18">
    <w:abstractNumId w:val="20"/>
  </w:num>
  <w:num w:numId="19">
    <w:abstractNumId w:val="4"/>
  </w:num>
  <w:num w:numId="20">
    <w:abstractNumId w:val="15"/>
  </w:num>
  <w:num w:numId="21">
    <w:abstractNumId w:val="6"/>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hdrShapeDefaults>
    <o:shapedefaults v:ext="edit" spidmax="27649"/>
  </w:hdrShapeDefaults>
  <w:footnotePr>
    <w:footnote w:id="-1"/>
    <w:footnote w:id="0"/>
  </w:footnotePr>
  <w:endnotePr>
    <w:endnote w:id="-1"/>
    <w:endnote w:id="0"/>
  </w:endnotePr>
  <w:compat/>
  <w:rsids>
    <w:rsidRoot w:val="00BC7D70"/>
    <w:rsid w:val="000017C4"/>
    <w:rsid w:val="00003160"/>
    <w:rsid w:val="000048C0"/>
    <w:rsid w:val="0001058D"/>
    <w:rsid w:val="00017648"/>
    <w:rsid w:val="00026E38"/>
    <w:rsid w:val="0003126A"/>
    <w:rsid w:val="000354C3"/>
    <w:rsid w:val="0003682A"/>
    <w:rsid w:val="0003747A"/>
    <w:rsid w:val="0004424B"/>
    <w:rsid w:val="0004592A"/>
    <w:rsid w:val="00046FE1"/>
    <w:rsid w:val="00054F1B"/>
    <w:rsid w:val="00061158"/>
    <w:rsid w:val="0007055C"/>
    <w:rsid w:val="00071BC0"/>
    <w:rsid w:val="00073FF8"/>
    <w:rsid w:val="00076160"/>
    <w:rsid w:val="00080184"/>
    <w:rsid w:val="00082414"/>
    <w:rsid w:val="00083D73"/>
    <w:rsid w:val="00085DD2"/>
    <w:rsid w:val="0008606D"/>
    <w:rsid w:val="000943EC"/>
    <w:rsid w:val="0009499D"/>
    <w:rsid w:val="000973AC"/>
    <w:rsid w:val="000A186F"/>
    <w:rsid w:val="000A1B67"/>
    <w:rsid w:val="000A3E28"/>
    <w:rsid w:val="000A6094"/>
    <w:rsid w:val="000A6F3D"/>
    <w:rsid w:val="000A79BE"/>
    <w:rsid w:val="000C4733"/>
    <w:rsid w:val="000C573F"/>
    <w:rsid w:val="000C7038"/>
    <w:rsid w:val="000D4002"/>
    <w:rsid w:val="000D58B2"/>
    <w:rsid w:val="000E121B"/>
    <w:rsid w:val="00105423"/>
    <w:rsid w:val="00106A13"/>
    <w:rsid w:val="001106B2"/>
    <w:rsid w:val="00111B50"/>
    <w:rsid w:val="00114734"/>
    <w:rsid w:val="00116CDD"/>
    <w:rsid w:val="00117A52"/>
    <w:rsid w:val="00120077"/>
    <w:rsid w:val="00121801"/>
    <w:rsid w:val="001322CF"/>
    <w:rsid w:val="00133ABD"/>
    <w:rsid w:val="00134CFA"/>
    <w:rsid w:val="001365A1"/>
    <w:rsid w:val="00137EC3"/>
    <w:rsid w:val="001419F0"/>
    <w:rsid w:val="00144E66"/>
    <w:rsid w:val="001636A3"/>
    <w:rsid w:val="00171161"/>
    <w:rsid w:val="00171D12"/>
    <w:rsid w:val="001736F3"/>
    <w:rsid w:val="00182CF3"/>
    <w:rsid w:val="00185DB6"/>
    <w:rsid w:val="001867AF"/>
    <w:rsid w:val="00186DA7"/>
    <w:rsid w:val="00187FB0"/>
    <w:rsid w:val="001944A2"/>
    <w:rsid w:val="00195FDD"/>
    <w:rsid w:val="001979CF"/>
    <w:rsid w:val="001A4488"/>
    <w:rsid w:val="001C06BB"/>
    <w:rsid w:val="001C3620"/>
    <w:rsid w:val="001C450D"/>
    <w:rsid w:val="001C6559"/>
    <w:rsid w:val="001D100E"/>
    <w:rsid w:val="001D36ED"/>
    <w:rsid w:val="001D7E3D"/>
    <w:rsid w:val="001E0A97"/>
    <w:rsid w:val="001E122D"/>
    <w:rsid w:val="001E1508"/>
    <w:rsid w:val="001E5762"/>
    <w:rsid w:val="001E71A6"/>
    <w:rsid w:val="001F2CC6"/>
    <w:rsid w:val="00203F4B"/>
    <w:rsid w:val="00204A27"/>
    <w:rsid w:val="00205ADE"/>
    <w:rsid w:val="00207238"/>
    <w:rsid w:val="0020746B"/>
    <w:rsid w:val="002106BD"/>
    <w:rsid w:val="00215784"/>
    <w:rsid w:val="0021585C"/>
    <w:rsid w:val="00216942"/>
    <w:rsid w:val="002341F3"/>
    <w:rsid w:val="0023771A"/>
    <w:rsid w:val="002413CE"/>
    <w:rsid w:val="00242A2E"/>
    <w:rsid w:val="00243382"/>
    <w:rsid w:val="0024724B"/>
    <w:rsid w:val="00263A33"/>
    <w:rsid w:val="00271B32"/>
    <w:rsid w:val="00272C93"/>
    <w:rsid w:val="00272CDD"/>
    <w:rsid w:val="00274A8C"/>
    <w:rsid w:val="002773CF"/>
    <w:rsid w:val="00282E85"/>
    <w:rsid w:val="002838FD"/>
    <w:rsid w:val="00291F92"/>
    <w:rsid w:val="002A1B1B"/>
    <w:rsid w:val="002A2830"/>
    <w:rsid w:val="002A6602"/>
    <w:rsid w:val="002B17E8"/>
    <w:rsid w:val="002B340A"/>
    <w:rsid w:val="002C31DA"/>
    <w:rsid w:val="002D0E4C"/>
    <w:rsid w:val="002D246F"/>
    <w:rsid w:val="002D280A"/>
    <w:rsid w:val="002D639C"/>
    <w:rsid w:val="002D7832"/>
    <w:rsid w:val="002E0086"/>
    <w:rsid w:val="002E0549"/>
    <w:rsid w:val="002E63A1"/>
    <w:rsid w:val="002F41BF"/>
    <w:rsid w:val="002F4846"/>
    <w:rsid w:val="002F727A"/>
    <w:rsid w:val="00314481"/>
    <w:rsid w:val="00315832"/>
    <w:rsid w:val="00320C45"/>
    <w:rsid w:val="00322329"/>
    <w:rsid w:val="003251ED"/>
    <w:rsid w:val="003270ED"/>
    <w:rsid w:val="00327D46"/>
    <w:rsid w:val="00335555"/>
    <w:rsid w:val="003404C7"/>
    <w:rsid w:val="003406A0"/>
    <w:rsid w:val="00340A7D"/>
    <w:rsid w:val="00341CDA"/>
    <w:rsid w:val="003426B7"/>
    <w:rsid w:val="00343DFB"/>
    <w:rsid w:val="00347301"/>
    <w:rsid w:val="00350B8B"/>
    <w:rsid w:val="003513BD"/>
    <w:rsid w:val="003613E5"/>
    <w:rsid w:val="00365890"/>
    <w:rsid w:val="00374238"/>
    <w:rsid w:val="00377B35"/>
    <w:rsid w:val="00391F76"/>
    <w:rsid w:val="0039258A"/>
    <w:rsid w:val="00393CDC"/>
    <w:rsid w:val="003A6E5A"/>
    <w:rsid w:val="003B10A6"/>
    <w:rsid w:val="003B2356"/>
    <w:rsid w:val="003B4913"/>
    <w:rsid w:val="003B4F40"/>
    <w:rsid w:val="003B7EF2"/>
    <w:rsid w:val="003C1EA6"/>
    <w:rsid w:val="003C5C1F"/>
    <w:rsid w:val="003D4533"/>
    <w:rsid w:val="003E0065"/>
    <w:rsid w:val="003E0C36"/>
    <w:rsid w:val="003E0CBE"/>
    <w:rsid w:val="003E6037"/>
    <w:rsid w:val="003E6AFF"/>
    <w:rsid w:val="003F1C7D"/>
    <w:rsid w:val="003F2D6F"/>
    <w:rsid w:val="003F3870"/>
    <w:rsid w:val="003F3F5A"/>
    <w:rsid w:val="003F527B"/>
    <w:rsid w:val="004033B5"/>
    <w:rsid w:val="0040505B"/>
    <w:rsid w:val="004144B4"/>
    <w:rsid w:val="0041475B"/>
    <w:rsid w:val="00416D25"/>
    <w:rsid w:val="00424134"/>
    <w:rsid w:val="004246BC"/>
    <w:rsid w:val="004259B1"/>
    <w:rsid w:val="004268C3"/>
    <w:rsid w:val="004308FB"/>
    <w:rsid w:val="0043352D"/>
    <w:rsid w:val="00436BED"/>
    <w:rsid w:val="0043788B"/>
    <w:rsid w:val="00437CC6"/>
    <w:rsid w:val="00441A35"/>
    <w:rsid w:val="004421E1"/>
    <w:rsid w:val="0044550C"/>
    <w:rsid w:val="00456109"/>
    <w:rsid w:val="00462B50"/>
    <w:rsid w:val="00462DF5"/>
    <w:rsid w:val="004643C9"/>
    <w:rsid w:val="004677CD"/>
    <w:rsid w:val="00467C4B"/>
    <w:rsid w:val="00474DF7"/>
    <w:rsid w:val="00475F73"/>
    <w:rsid w:val="0048013B"/>
    <w:rsid w:val="00480A24"/>
    <w:rsid w:val="00482E20"/>
    <w:rsid w:val="00491477"/>
    <w:rsid w:val="004935F6"/>
    <w:rsid w:val="00494761"/>
    <w:rsid w:val="004971A7"/>
    <w:rsid w:val="004A152F"/>
    <w:rsid w:val="004A5EDA"/>
    <w:rsid w:val="004A7BBF"/>
    <w:rsid w:val="004B016B"/>
    <w:rsid w:val="004C0154"/>
    <w:rsid w:val="004C1371"/>
    <w:rsid w:val="004C3D31"/>
    <w:rsid w:val="004D082C"/>
    <w:rsid w:val="004D1FFB"/>
    <w:rsid w:val="004D2339"/>
    <w:rsid w:val="004D25F5"/>
    <w:rsid w:val="004D3236"/>
    <w:rsid w:val="004D3870"/>
    <w:rsid w:val="004D65D0"/>
    <w:rsid w:val="004E1F37"/>
    <w:rsid w:val="004E3470"/>
    <w:rsid w:val="004E4FC0"/>
    <w:rsid w:val="004E715C"/>
    <w:rsid w:val="004E7378"/>
    <w:rsid w:val="004F06A4"/>
    <w:rsid w:val="004F44DF"/>
    <w:rsid w:val="00511067"/>
    <w:rsid w:val="0051321B"/>
    <w:rsid w:val="00520169"/>
    <w:rsid w:val="0052040E"/>
    <w:rsid w:val="00520AC4"/>
    <w:rsid w:val="0052576B"/>
    <w:rsid w:val="0053231D"/>
    <w:rsid w:val="00537FED"/>
    <w:rsid w:val="00541BE5"/>
    <w:rsid w:val="00542641"/>
    <w:rsid w:val="00546B0E"/>
    <w:rsid w:val="005507F9"/>
    <w:rsid w:val="0055233E"/>
    <w:rsid w:val="00555599"/>
    <w:rsid w:val="0056212F"/>
    <w:rsid w:val="0057128B"/>
    <w:rsid w:val="005720E0"/>
    <w:rsid w:val="0057571E"/>
    <w:rsid w:val="00575769"/>
    <w:rsid w:val="00584705"/>
    <w:rsid w:val="00585EE7"/>
    <w:rsid w:val="005903BE"/>
    <w:rsid w:val="00591E84"/>
    <w:rsid w:val="0059506C"/>
    <w:rsid w:val="00596B92"/>
    <w:rsid w:val="00597F31"/>
    <w:rsid w:val="005A12E4"/>
    <w:rsid w:val="005A1361"/>
    <w:rsid w:val="005A4F42"/>
    <w:rsid w:val="005A6EDE"/>
    <w:rsid w:val="005B304E"/>
    <w:rsid w:val="005B35E6"/>
    <w:rsid w:val="005B63BB"/>
    <w:rsid w:val="005C75A0"/>
    <w:rsid w:val="005D1AE2"/>
    <w:rsid w:val="005D3C25"/>
    <w:rsid w:val="005D5B6E"/>
    <w:rsid w:val="005D6D3A"/>
    <w:rsid w:val="005D7560"/>
    <w:rsid w:val="005E1369"/>
    <w:rsid w:val="005F1250"/>
    <w:rsid w:val="005F46EE"/>
    <w:rsid w:val="005F489D"/>
    <w:rsid w:val="00600F64"/>
    <w:rsid w:val="006030E1"/>
    <w:rsid w:val="006060A2"/>
    <w:rsid w:val="0061028F"/>
    <w:rsid w:val="00610D8C"/>
    <w:rsid w:val="00611D89"/>
    <w:rsid w:val="006205B6"/>
    <w:rsid w:val="00620E0F"/>
    <w:rsid w:val="006270A9"/>
    <w:rsid w:val="0063511A"/>
    <w:rsid w:val="0063580D"/>
    <w:rsid w:val="00637F20"/>
    <w:rsid w:val="0064006F"/>
    <w:rsid w:val="0064091F"/>
    <w:rsid w:val="00645CB4"/>
    <w:rsid w:val="00650E9C"/>
    <w:rsid w:val="0066100B"/>
    <w:rsid w:val="0066202B"/>
    <w:rsid w:val="00662931"/>
    <w:rsid w:val="00665C60"/>
    <w:rsid w:val="0067110A"/>
    <w:rsid w:val="0067592F"/>
    <w:rsid w:val="00675981"/>
    <w:rsid w:val="00675AB3"/>
    <w:rsid w:val="00684479"/>
    <w:rsid w:val="006873EC"/>
    <w:rsid w:val="00691237"/>
    <w:rsid w:val="00691E18"/>
    <w:rsid w:val="0069283C"/>
    <w:rsid w:val="00695101"/>
    <w:rsid w:val="00695A34"/>
    <w:rsid w:val="00695D0D"/>
    <w:rsid w:val="00697363"/>
    <w:rsid w:val="00697627"/>
    <w:rsid w:val="006A1E2B"/>
    <w:rsid w:val="006A4448"/>
    <w:rsid w:val="006A65B9"/>
    <w:rsid w:val="006B2E58"/>
    <w:rsid w:val="006C1108"/>
    <w:rsid w:val="006C13B2"/>
    <w:rsid w:val="006C19B5"/>
    <w:rsid w:val="006C6C0F"/>
    <w:rsid w:val="006D2F59"/>
    <w:rsid w:val="006D33D7"/>
    <w:rsid w:val="006D3C00"/>
    <w:rsid w:val="006D4F72"/>
    <w:rsid w:val="006D4FDE"/>
    <w:rsid w:val="006D5317"/>
    <w:rsid w:val="006D64E5"/>
    <w:rsid w:val="006E1B1F"/>
    <w:rsid w:val="006E75DA"/>
    <w:rsid w:val="006F6F09"/>
    <w:rsid w:val="007021DB"/>
    <w:rsid w:val="007166E7"/>
    <w:rsid w:val="0072487B"/>
    <w:rsid w:val="00724899"/>
    <w:rsid w:val="00732A9B"/>
    <w:rsid w:val="007335E5"/>
    <w:rsid w:val="007428D6"/>
    <w:rsid w:val="00744976"/>
    <w:rsid w:val="00744DD2"/>
    <w:rsid w:val="007457B9"/>
    <w:rsid w:val="00747849"/>
    <w:rsid w:val="0075260D"/>
    <w:rsid w:val="00763805"/>
    <w:rsid w:val="00764DA2"/>
    <w:rsid w:val="007722E9"/>
    <w:rsid w:val="00775AE3"/>
    <w:rsid w:val="00775CB5"/>
    <w:rsid w:val="00776F05"/>
    <w:rsid w:val="00782C6E"/>
    <w:rsid w:val="00782F6A"/>
    <w:rsid w:val="00783696"/>
    <w:rsid w:val="00784E29"/>
    <w:rsid w:val="00786A4E"/>
    <w:rsid w:val="00791675"/>
    <w:rsid w:val="00796BAB"/>
    <w:rsid w:val="007A1400"/>
    <w:rsid w:val="007A1BB3"/>
    <w:rsid w:val="007A4125"/>
    <w:rsid w:val="007B210A"/>
    <w:rsid w:val="007B238E"/>
    <w:rsid w:val="007B3DC2"/>
    <w:rsid w:val="007B5681"/>
    <w:rsid w:val="007C069F"/>
    <w:rsid w:val="007C212C"/>
    <w:rsid w:val="007C3986"/>
    <w:rsid w:val="007C5BCA"/>
    <w:rsid w:val="007C72D1"/>
    <w:rsid w:val="007D08EF"/>
    <w:rsid w:val="007D2BFB"/>
    <w:rsid w:val="007D7540"/>
    <w:rsid w:val="007D7E12"/>
    <w:rsid w:val="007E2D73"/>
    <w:rsid w:val="007E4BD9"/>
    <w:rsid w:val="007E4F4D"/>
    <w:rsid w:val="007E57F7"/>
    <w:rsid w:val="007F22D7"/>
    <w:rsid w:val="007F2540"/>
    <w:rsid w:val="007F372C"/>
    <w:rsid w:val="007F3DD3"/>
    <w:rsid w:val="007F6275"/>
    <w:rsid w:val="00804212"/>
    <w:rsid w:val="00805454"/>
    <w:rsid w:val="00805A2B"/>
    <w:rsid w:val="0081011C"/>
    <w:rsid w:val="00810B2A"/>
    <w:rsid w:val="0081209E"/>
    <w:rsid w:val="00822583"/>
    <w:rsid w:val="00830325"/>
    <w:rsid w:val="00833A15"/>
    <w:rsid w:val="0083440A"/>
    <w:rsid w:val="00836651"/>
    <w:rsid w:val="00836CB3"/>
    <w:rsid w:val="00843BEA"/>
    <w:rsid w:val="008449B3"/>
    <w:rsid w:val="008475D6"/>
    <w:rsid w:val="00847E5D"/>
    <w:rsid w:val="0085010C"/>
    <w:rsid w:val="00850C4E"/>
    <w:rsid w:val="008535E7"/>
    <w:rsid w:val="008547FF"/>
    <w:rsid w:val="008605A3"/>
    <w:rsid w:val="00863F9D"/>
    <w:rsid w:val="00865072"/>
    <w:rsid w:val="008665E9"/>
    <w:rsid w:val="00870284"/>
    <w:rsid w:val="00870B7B"/>
    <w:rsid w:val="00873786"/>
    <w:rsid w:val="00877340"/>
    <w:rsid w:val="008822D6"/>
    <w:rsid w:val="0088289B"/>
    <w:rsid w:val="008829E6"/>
    <w:rsid w:val="00884B3F"/>
    <w:rsid w:val="008851E1"/>
    <w:rsid w:val="008858F8"/>
    <w:rsid w:val="00887989"/>
    <w:rsid w:val="00891C19"/>
    <w:rsid w:val="00892073"/>
    <w:rsid w:val="00896F06"/>
    <w:rsid w:val="008A5D7A"/>
    <w:rsid w:val="008A6794"/>
    <w:rsid w:val="008B1249"/>
    <w:rsid w:val="008B14DF"/>
    <w:rsid w:val="008B17F4"/>
    <w:rsid w:val="008B5F4F"/>
    <w:rsid w:val="008C1143"/>
    <w:rsid w:val="008C36EB"/>
    <w:rsid w:val="008D3EEA"/>
    <w:rsid w:val="008D5B29"/>
    <w:rsid w:val="008E7EC9"/>
    <w:rsid w:val="008F1E30"/>
    <w:rsid w:val="008F2F1F"/>
    <w:rsid w:val="008F43A2"/>
    <w:rsid w:val="008F47B4"/>
    <w:rsid w:val="008F4CC5"/>
    <w:rsid w:val="00900D60"/>
    <w:rsid w:val="00900FAC"/>
    <w:rsid w:val="00901532"/>
    <w:rsid w:val="00903740"/>
    <w:rsid w:val="0090757B"/>
    <w:rsid w:val="00923D2E"/>
    <w:rsid w:val="00923DBE"/>
    <w:rsid w:val="00924136"/>
    <w:rsid w:val="00931341"/>
    <w:rsid w:val="00934656"/>
    <w:rsid w:val="00934D42"/>
    <w:rsid w:val="00936FB7"/>
    <w:rsid w:val="009411B8"/>
    <w:rsid w:val="00943068"/>
    <w:rsid w:val="00943999"/>
    <w:rsid w:val="009478A6"/>
    <w:rsid w:val="009510CD"/>
    <w:rsid w:val="009522CE"/>
    <w:rsid w:val="00966AAF"/>
    <w:rsid w:val="00976382"/>
    <w:rsid w:val="009775BB"/>
    <w:rsid w:val="00977F5A"/>
    <w:rsid w:val="009801B6"/>
    <w:rsid w:val="0098089B"/>
    <w:rsid w:val="00982B9A"/>
    <w:rsid w:val="00986606"/>
    <w:rsid w:val="00990EF5"/>
    <w:rsid w:val="00993ABA"/>
    <w:rsid w:val="009940B4"/>
    <w:rsid w:val="009965D4"/>
    <w:rsid w:val="009A42C8"/>
    <w:rsid w:val="009A72A3"/>
    <w:rsid w:val="009B31CB"/>
    <w:rsid w:val="009C0C45"/>
    <w:rsid w:val="009C4642"/>
    <w:rsid w:val="009D36BF"/>
    <w:rsid w:val="009E143E"/>
    <w:rsid w:val="009E16E7"/>
    <w:rsid w:val="009E3310"/>
    <w:rsid w:val="009E4F9D"/>
    <w:rsid w:val="009E5781"/>
    <w:rsid w:val="009E7B58"/>
    <w:rsid w:val="009F0543"/>
    <w:rsid w:val="009F0954"/>
    <w:rsid w:val="009F1B7C"/>
    <w:rsid w:val="009F3451"/>
    <w:rsid w:val="009F3B00"/>
    <w:rsid w:val="009F3DD2"/>
    <w:rsid w:val="009F59FC"/>
    <w:rsid w:val="00A01C74"/>
    <w:rsid w:val="00A0288E"/>
    <w:rsid w:val="00A03472"/>
    <w:rsid w:val="00A037A6"/>
    <w:rsid w:val="00A039A0"/>
    <w:rsid w:val="00A10D2D"/>
    <w:rsid w:val="00A15291"/>
    <w:rsid w:val="00A15658"/>
    <w:rsid w:val="00A323CA"/>
    <w:rsid w:val="00A3366B"/>
    <w:rsid w:val="00A34398"/>
    <w:rsid w:val="00A347E0"/>
    <w:rsid w:val="00A34DAD"/>
    <w:rsid w:val="00A350A7"/>
    <w:rsid w:val="00A367F6"/>
    <w:rsid w:val="00A36A2C"/>
    <w:rsid w:val="00A41CAF"/>
    <w:rsid w:val="00A46421"/>
    <w:rsid w:val="00A73954"/>
    <w:rsid w:val="00A84057"/>
    <w:rsid w:val="00A8560E"/>
    <w:rsid w:val="00A85784"/>
    <w:rsid w:val="00A85D2F"/>
    <w:rsid w:val="00A86BC1"/>
    <w:rsid w:val="00A90CBD"/>
    <w:rsid w:val="00A91401"/>
    <w:rsid w:val="00A91C8F"/>
    <w:rsid w:val="00A9546C"/>
    <w:rsid w:val="00A96D37"/>
    <w:rsid w:val="00A97AC8"/>
    <w:rsid w:val="00AA0C6C"/>
    <w:rsid w:val="00AA3040"/>
    <w:rsid w:val="00AB3E4E"/>
    <w:rsid w:val="00AB6899"/>
    <w:rsid w:val="00AC22C3"/>
    <w:rsid w:val="00AC2B1D"/>
    <w:rsid w:val="00AC682D"/>
    <w:rsid w:val="00AD0B22"/>
    <w:rsid w:val="00AD1D0E"/>
    <w:rsid w:val="00AD45EE"/>
    <w:rsid w:val="00AD6A21"/>
    <w:rsid w:val="00AD75E3"/>
    <w:rsid w:val="00AE1E60"/>
    <w:rsid w:val="00AE444D"/>
    <w:rsid w:val="00AE6436"/>
    <w:rsid w:val="00AF1DB9"/>
    <w:rsid w:val="00AF2D93"/>
    <w:rsid w:val="00AF5CA9"/>
    <w:rsid w:val="00AF6225"/>
    <w:rsid w:val="00AF68D3"/>
    <w:rsid w:val="00AF70A3"/>
    <w:rsid w:val="00AF79CB"/>
    <w:rsid w:val="00AF7C1D"/>
    <w:rsid w:val="00B11541"/>
    <w:rsid w:val="00B121B1"/>
    <w:rsid w:val="00B14A4A"/>
    <w:rsid w:val="00B14FC2"/>
    <w:rsid w:val="00B15A1E"/>
    <w:rsid w:val="00B26120"/>
    <w:rsid w:val="00B32EB2"/>
    <w:rsid w:val="00B349CE"/>
    <w:rsid w:val="00B35C5F"/>
    <w:rsid w:val="00B370B8"/>
    <w:rsid w:val="00B4043B"/>
    <w:rsid w:val="00B40642"/>
    <w:rsid w:val="00B41A5E"/>
    <w:rsid w:val="00B46F75"/>
    <w:rsid w:val="00B47FD4"/>
    <w:rsid w:val="00B5052D"/>
    <w:rsid w:val="00B514B0"/>
    <w:rsid w:val="00B54948"/>
    <w:rsid w:val="00B57E7E"/>
    <w:rsid w:val="00B722C7"/>
    <w:rsid w:val="00B7413F"/>
    <w:rsid w:val="00B761E3"/>
    <w:rsid w:val="00B77CF8"/>
    <w:rsid w:val="00B80BA1"/>
    <w:rsid w:val="00B814AA"/>
    <w:rsid w:val="00B8329E"/>
    <w:rsid w:val="00B83B1A"/>
    <w:rsid w:val="00B90F56"/>
    <w:rsid w:val="00B9288F"/>
    <w:rsid w:val="00B938DD"/>
    <w:rsid w:val="00B94289"/>
    <w:rsid w:val="00B95C12"/>
    <w:rsid w:val="00BA1178"/>
    <w:rsid w:val="00BB10C4"/>
    <w:rsid w:val="00BB1C2C"/>
    <w:rsid w:val="00BB477A"/>
    <w:rsid w:val="00BB5BC9"/>
    <w:rsid w:val="00BB7543"/>
    <w:rsid w:val="00BB770E"/>
    <w:rsid w:val="00BC1E5F"/>
    <w:rsid w:val="00BC3BB8"/>
    <w:rsid w:val="00BC468A"/>
    <w:rsid w:val="00BC537F"/>
    <w:rsid w:val="00BC5EA8"/>
    <w:rsid w:val="00BC7D70"/>
    <w:rsid w:val="00BD1799"/>
    <w:rsid w:val="00BD2103"/>
    <w:rsid w:val="00BE10CE"/>
    <w:rsid w:val="00BE1CE6"/>
    <w:rsid w:val="00BE7A6F"/>
    <w:rsid w:val="00BF5111"/>
    <w:rsid w:val="00BF526D"/>
    <w:rsid w:val="00BF5A79"/>
    <w:rsid w:val="00BF5E31"/>
    <w:rsid w:val="00C00B38"/>
    <w:rsid w:val="00C03BD4"/>
    <w:rsid w:val="00C07C17"/>
    <w:rsid w:val="00C109E6"/>
    <w:rsid w:val="00C15F89"/>
    <w:rsid w:val="00C1733E"/>
    <w:rsid w:val="00C201D3"/>
    <w:rsid w:val="00C215D4"/>
    <w:rsid w:val="00C2380D"/>
    <w:rsid w:val="00C25A7B"/>
    <w:rsid w:val="00C36DFA"/>
    <w:rsid w:val="00C44F42"/>
    <w:rsid w:val="00C450B3"/>
    <w:rsid w:val="00C519BF"/>
    <w:rsid w:val="00C5386C"/>
    <w:rsid w:val="00C53DF7"/>
    <w:rsid w:val="00C57FCC"/>
    <w:rsid w:val="00C600E5"/>
    <w:rsid w:val="00C61095"/>
    <w:rsid w:val="00C61A16"/>
    <w:rsid w:val="00C704E1"/>
    <w:rsid w:val="00C704FC"/>
    <w:rsid w:val="00C70CFF"/>
    <w:rsid w:val="00C71CFD"/>
    <w:rsid w:val="00C73A91"/>
    <w:rsid w:val="00C83829"/>
    <w:rsid w:val="00C83879"/>
    <w:rsid w:val="00C83D24"/>
    <w:rsid w:val="00C8538A"/>
    <w:rsid w:val="00C905CC"/>
    <w:rsid w:val="00C918C5"/>
    <w:rsid w:val="00C96C9F"/>
    <w:rsid w:val="00CA0E63"/>
    <w:rsid w:val="00CA7591"/>
    <w:rsid w:val="00CB0CC7"/>
    <w:rsid w:val="00CB1B88"/>
    <w:rsid w:val="00CB58A6"/>
    <w:rsid w:val="00CC0C46"/>
    <w:rsid w:val="00CC2E02"/>
    <w:rsid w:val="00CC5BC3"/>
    <w:rsid w:val="00CD17EB"/>
    <w:rsid w:val="00CD22D6"/>
    <w:rsid w:val="00CD2F79"/>
    <w:rsid w:val="00CD36AD"/>
    <w:rsid w:val="00CE14B8"/>
    <w:rsid w:val="00CE325D"/>
    <w:rsid w:val="00CE5D7E"/>
    <w:rsid w:val="00CF3DBE"/>
    <w:rsid w:val="00D010E7"/>
    <w:rsid w:val="00D02CD3"/>
    <w:rsid w:val="00D036CE"/>
    <w:rsid w:val="00D07214"/>
    <w:rsid w:val="00D118A0"/>
    <w:rsid w:val="00D12673"/>
    <w:rsid w:val="00D13C39"/>
    <w:rsid w:val="00D14187"/>
    <w:rsid w:val="00D21737"/>
    <w:rsid w:val="00D25A33"/>
    <w:rsid w:val="00D31806"/>
    <w:rsid w:val="00D3262D"/>
    <w:rsid w:val="00D32EC1"/>
    <w:rsid w:val="00D343BD"/>
    <w:rsid w:val="00D34A3B"/>
    <w:rsid w:val="00D34F1E"/>
    <w:rsid w:val="00D356D5"/>
    <w:rsid w:val="00D35987"/>
    <w:rsid w:val="00D41B10"/>
    <w:rsid w:val="00D431A7"/>
    <w:rsid w:val="00D4445B"/>
    <w:rsid w:val="00D50B10"/>
    <w:rsid w:val="00D51015"/>
    <w:rsid w:val="00D55C6C"/>
    <w:rsid w:val="00D61469"/>
    <w:rsid w:val="00D64DC6"/>
    <w:rsid w:val="00D67342"/>
    <w:rsid w:val="00D709B2"/>
    <w:rsid w:val="00D71DA9"/>
    <w:rsid w:val="00D72AC8"/>
    <w:rsid w:val="00D7615F"/>
    <w:rsid w:val="00D8202F"/>
    <w:rsid w:val="00D825C6"/>
    <w:rsid w:val="00D83F98"/>
    <w:rsid w:val="00D86B2B"/>
    <w:rsid w:val="00D87E97"/>
    <w:rsid w:val="00D90098"/>
    <w:rsid w:val="00D945AD"/>
    <w:rsid w:val="00D94CE2"/>
    <w:rsid w:val="00DA1E33"/>
    <w:rsid w:val="00DA22CC"/>
    <w:rsid w:val="00DA2A77"/>
    <w:rsid w:val="00DA36F6"/>
    <w:rsid w:val="00DA63D7"/>
    <w:rsid w:val="00DA7961"/>
    <w:rsid w:val="00DC21A1"/>
    <w:rsid w:val="00DC4015"/>
    <w:rsid w:val="00DC6294"/>
    <w:rsid w:val="00DC62B5"/>
    <w:rsid w:val="00DD0434"/>
    <w:rsid w:val="00DD46F3"/>
    <w:rsid w:val="00DD48D0"/>
    <w:rsid w:val="00DD4985"/>
    <w:rsid w:val="00DE0AB7"/>
    <w:rsid w:val="00DE0BC5"/>
    <w:rsid w:val="00DE393E"/>
    <w:rsid w:val="00DE6D96"/>
    <w:rsid w:val="00DF2333"/>
    <w:rsid w:val="00DF3135"/>
    <w:rsid w:val="00DF732A"/>
    <w:rsid w:val="00E016D3"/>
    <w:rsid w:val="00E03436"/>
    <w:rsid w:val="00E03888"/>
    <w:rsid w:val="00E043CD"/>
    <w:rsid w:val="00E05CAF"/>
    <w:rsid w:val="00E07125"/>
    <w:rsid w:val="00E10558"/>
    <w:rsid w:val="00E11E4B"/>
    <w:rsid w:val="00E16623"/>
    <w:rsid w:val="00E22E5C"/>
    <w:rsid w:val="00E24626"/>
    <w:rsid w:val="00E2602A"/>
    <w:rsid w:val="00E30476"/>
    <w:rsid w:val="00E33B69"/>
    <w:rsid w:val="00E3540E"/>
    <w:rsid w:val="00E41D50"/>
    <w:rsid w:val="00E42AFB"/>
    <w:rsid w:val="00E46211"/>
    <w:rsid w:val="00E46D8D"/>
    <w:rsid w:val="00E57CC3"/>
    <w:rsid w:val="00E630DB"/>
    <w:rsid w:val="00E63398"/>
    <w:rsid w:val="00E662E2"/>
    <w:rsid w:val="00E66FEF"/>
    <w:rsid w:val="00E72D19"/>
    <w:rsid w:val="00E81112"/>
    <w:rsid w:val="00E82AE6"/>
    <w:rsid w:val="00E82DF5"/>
    <w:rsid w:val="00E86598"/>
    <w:rsid w:val="00E9011E"/>
    <w:rsid w:val="00E93018"/>
    <w:rsid w:val="00E931F4"/>
    <w:rsid w:val="00E94301"/>
    <w:rsid w:val="00E94A6B"/>
    <w:rsid w:val="00EA00DA"/>
    <w:rsid w:val="00EA172E"/>
    <w:rsid w:val="00EA369D"/>
    <w:rsid w:val="00EA5109"/>
    <w:rsid w:val="00EA5E97"/>
    <w:rsid w:val="00EA71EA"/>
    <w:rsid w:val="00EA7CC3"/>
    <w:rsid w:val="00EB3AE0"/>
    <w:rsid w:val="00EB7258"/>
    <w:rsid w:val="00EC096B"/>
    <w:rsid w:val="00EC4BC3"/>
    <w:rsid w:val="00EC4EB1"/>
    <w:rsid w:val="00ED0D53"/>
    <w:rsid w:val="00ED1A86"/>
    <w:rsid w:val="00ED1F70"/>
    <w:rsid w:val="00ED31D7"/>
    <w:rsid w:val="00ED6D19"/>
    <w:rsid w:val="00EE1BFC"/>
    <w:rsid w:val="00EE2E8C"/>
    <w:rsid w:val="00EE410C"/>
    <w:rsid w:val="00EE5566"/>
    <w:rsid w:val="00EE77CA"/>
    <w:rsid w:val="00EF0629"/>
    <w:rsid w:val="00EF2998"/>
    <w:rsid w:val="00EF73E4"/>
    <w:rsid w:val="00F00313"/>
    <w:rsid w:val="00F03FE8"/>
    <w:rsid w:val="00F05DE9"/>
    <w:rsid w:val="00F065E1"/>
    <w:rsid w:val="00F13153"/>
    <w:rsid w:val="00F15548"/>
    <w:rsid w:val="00F2019B"/>
    <w:rsid w:val="00F22992"/>
    <w:rsid w:val="00F229A2"/>
    <w:rsid w:val="00F26600"/>
    <w:rsid w:val="00F26878"/>
    <w:rsid w:val="00F26DB7"/>
    <w:rsid w:val="00F30849"/>
    <w:rsid w:val="00F30B40"/>
    <w:rsid w:val="00F33D2B"/>
    <w:rsid w:val="00F372D7"/>
    <w:rsid w:val="00F42DE5"/>
    <w:rsid w:val="00F4391C"/>
    <w:rsid w:val="00F54276"/>
    <w:rsid w:val="00F5521C"/>
    <w:rsid w:val="00F6161B"/>
    <w:rsid w:val="00F63AE7"/>
    <w:rsid w:val="00F7052B"/>
    <w:rsid w:val="00F72FBD"/>
    <w:rsid w:val="00F7499E"/>
    <w:rsid w:val="00F83284"/>
    <w:rsid w:val="00F8667A"/>
    <w:rsid w:val="00F910E8"/>
    <w:rsid w:val="00F92097"/>
    <w:rsid w:val="00F94A2F"/>
    <w:rsid w:val="00F97259"/>
    <w:rsid w:val="00FA18AD"/>
    <w:rsid w:val="00FA69B0"/>
    <w:rsid w:val="00FA6BF6"/>
    <w:rsid w:val="00FC1A2E"/>
    <w:rsid w:val="00FC3D29"/>
    <w:rsid w:val="00FC63FF"/>
    <w:rsid w:val="00FC670A"/>
    <w:rsid w:val="00FD69BA"/>
    <w:rsid w:val="00FE207A"/>
    <w:rsid w:val="00FE6531"/>
    <w:rsid w:val="00FF2189"/>
    <w:rsid w:val="00FF2BA6"/>
    <w:rsid w:val="00FF58AF"/>
    <w:rsid w:val="00FF71DC"/>
    <w:rsid w:val="00FF7374"/>
    <w:rsid w:val="00FF79D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2D7"/>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5D2B66"/>
    <w:pPr>
      <w:spacing w:after="0" w:line="240" w:lineRule="auto"/>
      <w:ind w:left="720"/>
    </w:pPr>
    <w:rPr>
      <w:rFonts w:cs="Calibri"/>
      <w:lang w:eastAsia="en-GB"/>
    </w:rPr>
  </w:style>
  <w:style w:type="paragraph" w:styleId="NormalWeb">
    <w:name w:val="Normal (Web)"/>
    <w:basedOn w:val="Normal"/>
    <w:uiPriority w:val="99"/>
    <w:semiHidden/>
    <w:unhideWhenUsed/>
    <w:rsid w:val="002B3AF4"/>
    <w:pPr>
      <w:spacing w:before="100" w:beforeAutospacing="1" w:after="100" w:afterAutospacing="1" w:line="240" w:lineRule="auto"/>
    </w:pPr>
    <w:rPr>
      <w:rFonts w:ascii="Times New Roman" w:eastAsia="SimSun" w:hAnsi="Times New Roman"/>
      <w:sz w:val="24"/>
      <w:szCs w:val="24"/>
      <w:lang w:eastAsia="en-GB"/>
    </w:rPr>
  </w:style>
  <w:style w:type="character" w:styleId="Hyperlink">
    <w:name w:val="Hyperlink"/>
    <w:rsid w:val="002B3AF4"/>
    <w:rPr>
      <w:color w:val="0000FF"/>
      <w:u w:val="single"/>
    </w:rPr>
  </w:style>
  <w:style w:type="paragraph" w:styleId="FootnoteText">
    <w:name w:val="footnote text"/>
    <w:basedOn w:val="Normal"/>
    <w:link w:val="FootnoteTextChar"/>
    <w:uiPriority w:val="99"/>
    <w:semiHidden/>
    <w:unhideWhenUsed/>
    <w:rsid w:val="002B3AF4"/>
    <w:pPr>
      <w:spacing w:after="0" w:line="240" w:lineRule="auto"/>
    </w:pPr>
    <w:rPr>
      <w:rFonts w:ascii="Times New Roman" w:eastAsia="Times New Roman" w:hAnsi="Times New Roman"/>
      <w:snapToGrid w:val="0"/>
      <w:sz w:val="20"/>
      <w:szCs w:val="20"/>
      <w:lang w:val="ru-RU" w:eastAsia="ru-RU"/>
    </w:rPr>
  </w:style>
  <w:style w:type="character" w:customStyle="1" w:styleId="FootnoteTextChar">
    <w:name w:val="Footnote Text Char"/>
    <w:link w:val="FootnoteText"/>
    <w:uiPriority w:val="99"/>
    <w:semiHidden/>
    <w:rsid w:val="002B3AF4"/>
    <w:rPr>
      <w:rFonts w:ascii="Times New Roman" w:eastAsia="Times New Roman" w:hAnsi="Times New Roman"/>
      <w:snapToGrid/>
      <w:lang w:val="ru-RU" w:eastAsia="ru-RU"/>
    </w:rPr>
  </w:style>
  <w:style w:type="character" w:styleId="FootnoteReference">
    <w:name w:val="footnote reference"/>
    <w:uiPriority w:val="99"/>
    <w:semiHidden/>
    <w:unhideWhenUsed/>
    <w:rsid w:val="002B3AF4"/>
    <w:rPr>
      <w:vertAlign w:val="superscript"/>
    </w:rPr>
  </w:style>
  <w:style w:type="paragraph" w:styleId="Header">
    <w:name w:val="header"/>
    <w:basedOn w:val="Normal"/>
    <w:link w:val="HeaderChar"/>
    <w:uiPriority w:val="99"/>
    <w:unhideWhenUsed/>
    <w:rsid w:val="0018368D"/>
    <w:pPr>
      <w:tabs>
        <w:tab w:val="center" w:pos="4680"/>
        <w:tab w:val="right" w:pos="9360"/>
      </w:tabs>
    </w:pPr>
  </w:style>
  <w:style w:type="character" w:customStyle="1" w:styleId="HeaderChar">
    <w:name w:val="Header Char"/>
    <w:link w:val="Header"/>
    <w:uiPriority w:val="99"/>
    <w:rsid w:val="0018368D"/>
    <w:rPr>
      <w:sz w:val="22"/>
      <w:szCs w:val="22"/>
      <w:lang w:val="en-GB"/>
    </w:rPr>
  </w:style>
  <w:style w:type="paragraph" w:styleId="Footer">
    <w:name w:val="footer"/>
    <w:basedOn w:val="Normal"/>
    <w:link w:val="FooterChar"/>
    <w:uiPriority w:val="99"/>
    <w:unhideWhenUsed/>
    <w:rsid w:val="0018368D"/>
    <w:pPr>
      <w:tabs>
        <w:tab w:val="center" w:pos="4680"/>
        <w:tab w:val="right" w:pos="9360"/>
      </w:tabs>
    </w:pPr>
  </w:style>
  <w:style w:type="character" w:customStyle="1" w:styleId="FooterChar">
    <w:name w:val="Footer Char"/>
    <w:link w:val="Footer"/>
    <w:uiPriority w:val="99"/>
    <w:rsid w:val="0018368D"/>
    <w:rPr>
      <w:sz w:val="22"/>
      <w:szCs w:val="22"/>
      <w:lang w:val="en-GB"/>
    </w:rPr>
  </w:style>
  <w:style w:type="paragraph" w:styleId="CommentText">
    <w:name w:val="annotation text"/>
    <w:basedOn w:val="Normal"/>
    <w:link w:val="CommentTextChar"/>
    <w:uiPriority w:val="99"/>
    <w:semiHidden/>
    <w:unhideWhenUsed/>
    <w:rsid w:val="00416587"/>
    <w:rPr>
      <w:sz w:val="20"/>
      <w:szCs w:val="20"/>
    </w:rPr>
  </w:style>
  <w:style w:type="character" w:customStyle="1" w:styleId="CommentTextChar">
    <w:name w:val="Comment Text Char"/>
    <w:link w:val="CommentText"/>
    <w:uiPriority w:val="99"/>
    <w:semiHidden/>
    <w:rsid w:val="00416587"/>
    <w:rPr>
      <w:lang w:val="en-GB"/>
    </w:rPr>
  </w:style>
  <w:style w:type="character" w:styleId="CommentReference">
    <w:name w:val="annotation reference"/>
    <w:uiPriority w:val="99"/>
    <w:semiHidden/>
    <w:unhideWhenUsed/>
    <w:rsid w:val="00416587"/>
    <w:rPr>
      <w:sz w:val="16"/>
      <w:szCs w:val="16"/>
    </w:rPr>
  </w:style>
  <w:style w:type="paragraph" w:styleId="BalloonText">
    <w:name w:val="Balloon Text"/>
    <w:basedOn w:val="Normal"/>
    <w:link w:val="BalloonTextChar"/>
    <w:uiPriority w:val="99"/>
    <w:semiHidden/>
    <w:unhideWhenUsed/>
    <w:rsid w:val="00416587"/>
    <w:pPr>
      <w:spacing w:after="0" w:line="240" w:lineRule="auto"/>
    </w:pPr>
    <w:rPr>
      <w:rFonts w:ascii="Tahoma" w:hAnsi="Tahoma"/>
      <w:sz w:val="16"/>
      <w:szCs w:val="16"/>
    </w:rPr>
  </w:style>
  <w:style w:type="character" w:customStyle="1" w:styleId="BalloonTextChar">
    <w:name w:val="Balloon Text Char"/>
    <w:link w:val="BalloonText"/>
    <w:uiPriority w:val="99"/>
    <w:semiHidden/>
    <w:rsid w:val="00416587"/>
    <w:rPr>
      <w:rFonts w:ascii="Tahoma" w:hAnsi="Tahoma" w:cs="Tahoma"/>
      <w:sz w:val="16"/>
      <w:szCs w:val="16"/>
      <w:lang w:val="en-GB"/>
    </w:rPr>
  </w:style>
  <w:style w:type="paragraph" w:styleId="CommentSubject">
    <w:name w:val="annotation subject"/>
    <w:basedOn w:val="CommentText"/>
    <w:next w:val="CommentText"/>
    <w:link w:val="CommentSubjectChar"/>
    <w:uiPriority w:val="99"/>
    <w:semiHidden/>
    <w:unhideWhenUsed/>
    <w:rsid w:val="00FA69B0"/>
    <w:rPr>
      <w:b/>
      <w:bCs/>
    </w:rPr>
  </w:style>
  <w:style w:type="character" w:customStyle="1" w:styleId="CommentSubjectChar">
    <w:name w:val="Comment Subject Char"/>
    <w:link w:val="CommentSubject"/>
    <w:uiPriority w:val="99"/>
    <w:semiHidden/>
    <w:rsid w:val="00FA69B0"/>
    <w:rPr>
      <w:b/>
      <w:bCs/>
      <w:lang w:val="en-GB" w:eastAsia="en-US"/>
    </w:rPr>
  </w:style>
  <w:style w:type="paragraph" w:customStyle="1" w:styleId="Default">
    <w:name w:val="Default"/>
    <w:rsid w:val="004C1371"/>
    <w:pPr>
      <w:autoSpaceDE w:val="0"/>
      <w:autoSpaceDN w:val="0"/>
      <w:adjustRightInd w:val="0"/>
    </w:pPr>
    <w:rPr>
      <w:rFonts w:ascii="Times New Roman" w:hAnsi="Times New Roman"/>
      <w:color w:val="000000"/>
      <w:sz w:val="24"/>
      <w:szCs w:val="24"/>
      <w:lang w:val="en-US" w:eastAsia="en-US"/>
    </w:rPr>
  </w:style>
  <w:style w:type="paragraph" w:styleId="ListParagraph">
    <w:name w:val="List Paragraph"/>
    <w:basedOn w:val="Normal"/>
    <w:uiPriority w:val="34"/>
    <w:qFormat/>
    <w:rsid w:val="00836CB3"/>
    <w:pPr>
      <w:ind w:left="720"/>
    </w:pPr>
  </w:style>
  <w:style w:type="paragraph" w:styleId="EndnoteText">
    <w:name w:val="endnote text"/>
    <w:basedOn w:val="Normal"/>
    <w:link w:val="EndnoteTextChar"/>
    <w:uiPriority w:val="99"/>
    <w:semiHidden/>
    <w:unhideWhenUsed/>
    <w:rsid w:val="00DA36F6"/>
    <w:rPr>
      <w:sz w:val="20"/>
      <w:szCs w:val="20"/>
    </w:rPr>
  </w:style>
  <w:style w:type="character" w:customStyle="1" w:styleId="EndnoteTextChar">
    <w:name w:val="Endnote Text Char"/>
    <w:link w:val="EndnoteText"/>
    <w:uiPriority w:val="99"/>
    <w:semiHidden/>
    <w:rsid w:val="00DA36F6"/>
    <w:rPr>
      <w:lang w:val="en-GB"/>
    </w:rPr>
  </w:style>
  <w:style w:type="character" w:styleId="EndnoteReference">
    <w:name w:val="endnote reference"/>
    <w:uiPriority w:val="99"/>
    <w:semiHidden/>
    <w:unhideWhenUsed/>
    <w:rsid w:val="00DA36F6"/>
    <w:rPr>
      <w:vertAlign w:val="superscript"/>
    </w:rPr>
  </w:style>
  <w:style w:type="paragraph" w:styleId="NoSpacing">
    <w:name w:val="No Spacing"/>
    <w:uiPriority w:val="1"/>
    <w:qFormat/>
    <w:rsid w:val="00697363"/>
    <w:rPr>
      <w:sz w:val="22"/>
      <w:szCs w:val="22"/>
      <w:lang w:eastAsia="en-US"/>
    </w:rPr>
  </w:style>
  <w:style w:type="character" w:styleId="FollowedHyperlink">
    <w:name w:val="FollowedHyperlink"/>
    <w:uiPriority w:val="99"/>
    <w:semiHidden/>
    <w:unhideWhenUsed/>
    <w:rsid w:val="003270ED"/>
    <w:rPr>
      <w:color w:val="800080"/>
      <w:u w:val="single"/>
    </w:rPr>
  </w:style>
  <w:style w:type="paragraph" w:styleId="BodyText">
    <w:name w:val="Body Text"/>
    <w:basedOn w:val="Normal"/>
    <w:link w:val="BodyTextChar"/>
    <w:rsid w:val="007E4BD9"/>
    <w:pPr>
      <w:spacing w:after="120" w:line="240" w:lineRule="auto"/>
    </w:pPr>
    <w:rPr>
      <w:rFonts w:ascii="Arial" w:eastAsia="Times New Roman" w:hAnsi="Arial"/>
      <w:sz w:val="20"/>
      <w:szCs w:val="20"/>
      <w:lang w:val="fr-FR"/>
    </w:rPr>
  </w:style>
  <w:style w:type="character" w:customStyle="1" w:styleId="BodyTextChar">
    <w:name w:val="Body Text Char"/>
    <w:link w:val="BodyText"/>
    <w:rsid w:val="007E4BD9"/>
    <w:rPr>
      <w:rFonts w:ascii="Arial" w:eastAsia="Times New Roman" w:hAnsi="Arial"/>
      <w:lang w:val="fr-FR" w:eastAsia="en-US"/>
    </w:rPr>
  </w:style>
  <w:style w:type="character" w:styleId="Strong">
    <w:name w:val="Strong"/>
    <w:qFormat/>
    <w:rsid w:val="00D7615F"/>
    <w:rPr>
      <w:b/>
      <w:bCs/>
    </w:rPr>
  </w:style>
  <w:style w:type="character" w:customStyle="1" w:styleId="hit1">
    <w:name w:val="hit1"/>
    <w:rsid w:val="00ED31D7"/>
    <w:rPr>
      <w:b/>
      <w:bCs/>
      <w:color w:val="CC0033"/>
    </w:rPr>
  </w:style>
  <w:style w:type="character" w:customStyle="1" w:styleId="bold1">
    <w:name w:val="bold1"/>
    <w:rsid w:val="00ED31D7"/>
    <w:rPr>
      <w:b/>
      <w:bCs/>
    </w:rPr>
  </w:style>
  <w:style w:type="paragraph" w:customStyle="1" w:styleId="loose">
    <w:name w:val="loose"/>
    <w:basedOn w:val="Normal"/>
    <w:rsid w:val="00ED31D7"/>
    <w:pPr>
      <w:spacing w:before="168" w:after="0" w:line="240" w:lineRule="auto"/>
    </w:pPr>
    <w:rPr>
      <w:rFonts w:ascii="Times New Roman" w:hAnsi="Times New Roman"/>
      <w:sz w:val="24"/>
      <w:szCs w:val="24"/>
      <w:lang w:eastAsia="en-GB"/>
    </w:rPr>
  </w:style>
  <w:style w:type="paragraph" w:styleId="Revision">
    <w:name w:val="Revision"/>
    <w:hidden/>
    <w:uiPriority w:val="99"/>
    <w:semiHidden/>
    <w:rsid w:val="002D639C"/>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5D2B66"/>
    <w:pPr>
      <w:spacing w:after="0" w:line="240" w:lineRule="auto"/>
      <w:ind w:left="720"/>
    </w:pPr>
    <w:rPr>
      <w:rFonts w:cs="Calibri"/>
      <w:lang w:eastAsia="en-GB"/>
    </w:rPr>
  </w:style>
  <w:style w:type="paragraph" w:styleId="NormalWeb">
    <w:name w:val="Normal (Web)"/>
    <w:basedOn w:val="Normal"/>
    <w:uiPriority w:val="99"/>
    <w:semiHidden/>
    <w:unhideWhenUsed/>
    <w:rsid w:val="002B3AF4"/>
    <w:pPr>
      <w:spacing w:before="100" w:beforeAutospacing="1" w:after="100" w:afterAutospacing="1" w:line="240" w:lineRule="auto"/>
    </w:pPr>
    <w:rPr>
      <w:rFonts w:ascii="Times New Roman" w:eastAsia="SimSun" w:hAnsi="Times New Roman"/>
      <w:sz w:val="24"/>
      <w:szCs w:val="24"/>
      <w:lang w:eastAsia="en-GB"/>
    </w:rPr>
  </w:style>
  <w:style w:type="character" w:styleId="Hyperlink">
    <w:name w:val="Hyperlink"/>
    <w:rsid w:val="002B3AF4"/>
    <w:rPr>
      <w:color w:val="0000FF"/>
      <w:u w:val="single"/>
    </w:rPr>
  </w:style>
  <w:style w:type="paragraph" w:styleId="FootnoteText">
    <w:name w:val="footnote text"/>
    <w:basedOn w:val="Normal"/>
    <w:link w:val="FootnoteTextChar"/>
    <w:uiPriority w:val="99"/>
    <w:semiHidden/>
    <w:unhideWhenUsed/>
    <w:rsid w:val="002B3AF4"/>
    <w:pPr>
      <w:spacing w:after="0" w:line="240" w:lineRule="auto"/>
    </w:pPr>
    <w:rPr>
      <w:rFonts w:ascii="Times New Roman" w:eastAsia="Times New Roman" w:hAnsi="Times New Roman"/>
      <w:snapToGrid w:val="0"/>
      <w:sz w:val="20"/>
      <w:szCs w:val="20"/>
      <w:lang w:val="ru-RU" w:eastAsia="ru-RU"/>
    </w:rPr>
  </w:style>
  <w:style w:type="character" w:customStyle="1" w:styleId="FootnoteTextChar">
    <w:name w:val="Footnote Text Char"/>
    <w:link w:val="FootnoteText"/>
    <w:uiPriority w:val="99"/>
    <w:semiHidden/>
    <w:rsid w:val="002B3AF4"/>
    <w:rPr>
      <w:rFonts w:ascii="Times New Roman" w:eastAsia="Times New Roman" w:hAnsi="Times New Roman"/>
      <w:snapToGrid/>
      <w:lang w:val="ru-RU" w:eastAsia="ru-RU"/>
    </w:rPr>
  </w:style>
  <w:style w:type="character" w:styleId="FootnoteReference">
    <w:name w:val="footnote reference"/>
    <w:uiPriority w:val="99"/>
    <w:semiHidden/>
    <w:unhideWhenUsed/>
    <w:rsid w:val="002B3AF4"/>
    <w:rPr>
      <w:vertAlign w:val="superscript"/>
    </w:rPr>
  </w:style>
  <w:style w:type="paragraph" w:styleId="Header">
    <w:name w:val="header"/>
    <w:basedOn w:val="Normal"/>
    <w:link w:val="HeaderChar"/>
    <w:uiPriority w:val="99"/>
    <w:unhideWhenUsed/>
    <w:rsid w:val="0018368D"/>
    <w:pPr>
      <w:tabs>
        <w:tab w:val="center" w:pos="4680"/>
        <w:tab w:val="right" w:pos="9360"/>
      </w:tabs>
    </w:pPr>
  </w:style>
  <w:style w:type="character" w:customStyle="1" w:styleId="HeaderChar">
    <w:name w:val="Header Char"/>
    <w:link w:val="Header"/>
    <w:uiPriority w:val="99"/>
    <w:rsid w:val="0018368D"/>
    <w:rPr>
      <w:sz w:val="22"/>
      <w:szCs w:val="22"/>
      <w:lang w:val="en-GB"/>
    </w:rPr>
  </w:style>
  <w:style w:type="paragraph" w:styleId="Footer">
    <w:name w:val="footer"/>
    <w:basedOn w:val="Normal"/>
    <w:link w:val="FooterChar"/>
    <w:uiPriority w:val="99"/>
    <w:unhideWhenUsed/>
    <w:rsid w:val="0018368D"/>
    <w:pPr>
      <w:tabs>
        <w:tab w:val="center" w:pos="4680"/>
        <w:tab w:val="right" w:pos="9360"/>
      </w:tabs>
    </w:pPr>
  </w:style>
  <w:style w:type="character" w:customStyle="1" w:styleId="FooterChar">
    <w:name w:val="Footer Char"/>
    <w:link w:val="Footer"/>
    <w:uiPriority w:val="99"/>
    <w:rsid w:val="0018368D"/>
    <w:rPr>
      <w:sz w:val="22"/>
      <w:szCs w:val="22"/>
      <w:lang w:val="en-GB"/>
    </w:rPr>
  </w:style>
  <w:style w:type="paragraph" w:styleId="CommentText">
    <w:name w:val="annotation text"/>
    <w:basedOn w:val="Normal"/>
    <w:link w:val="CommentTextChar"/>
    <w:uiPriority w:val="99"/>
    <w:semiHidden/>
    <w:unhideWhenUsed/>
    <w:rsid w:val="00416587"/>
    <w:rPr>
      <w:sz w:val="20"/>
      <w:szCs w:val="20"/>
    </w:rPr>
  </w:style>
  <w:style w:type="character" w:customStyle="1" w:styleId="CommentTextChar">
    <w:name w:val="Comment Text Char"/>
    <w:link w:val="CommentText"/>
    <w:uiPriority w:val="99"/>
    <w:semiHidden/>
    <w:rsid w:val="00416587"/>
    <w:rPr>
      <w:lang w:val="en-GB"/>
    </w:rPr>
  </w:style>
  <w:style w:type="character" w:styleId="CommentReference">
    <w:name w:val="annotation reference"/>
    <w:uiPriority w:val="99"/>
    <w:semiHidden/>
    <w:unhideWhenUsed/>
    <w:rsid w:val="00416587"/>
    <w:rPr>
      <w:sz w:val="16"/>
      <w:szCs w:val="16"/>
    </w:rPr>
  </w:style>
  <w:style w:type="paragraph" w:styleId="BalloonText">
    <w:name w:val="Balloon Text"/>
    <w:basedOn w:val="Normal"/>
    <w:link w:val="BalloonTextChar"/>
    <w:uiPriority w:val="99"/>
    <w:semiHidden/>
    <w:unhideWhenUsed/>
    <w:rsid w:val="00416587"/>
    <w:pPr>
      <w:spacing w:after="0" w:line="240" w:lineRule="auto"/>
    </w:pPr>
    <w:rPr>
      <w:rFonts w:ascii="Tahoma" w:hAnsi="Tahoma"/>
      <w:sz w:val="16"/>
      <w:szCs w:val="16"/>
    </w:rPr>
  </w:style>
  <w:style w:type="character" w:customStyle="1" w:styleId="BalloonTextChar">
    <w:name w:val="Balloon Text Char"/>
    <w:link w:val="BalloonText"/>
    <w:uiPriority w:val="99"/>
    <w:semiHidden/>
    <w:rsid w:val="00416587"/>
    <w:rPr>
      <w:rFonts w:ascii="Tahoma" w:hAnsi="Tahoma" w:cs="Tahoma"/>
      <w:sz w:val="16"/>
      <w:szCs w:val="16"/>
      <w:lang w:val="en-GB"/>
    </w:rPr>
  </w:style>
  <w:style w:type="paragraph" w:styleId="CommentSubject">
    <w:name w:val="annotation subject"/>
    <w:basedOn w:val="CommentText"/>
    <w:next w:val="CommentText"/>
    <w:link w:val="CommentSubjectChar"/>
    <w:uiPriority w:val="99"/>
    <w:semiHidden/>
    <w:unhideWhenUsed/>
    <w:rsid w:val="00FA69B0"/>
    <w:rPr>
      <w:b/>
      <w:bCs/>
    </w:rPr>
  </w:style>
  <w:style w:type="character" w:customStyle="1" w:styleId="CommentSubjectChar">
    <w:name w:val="Comment Subject Char"/>
    <w:link w:val="CommentSubject"/>
    <w:uiPriority w:val="99"/>
    <w:semiHidden/>
    <w:rsid w:val="00FA69B0"/>
    <w:rPr>
      <w:b/>
      <w:bCs/>
      <w:lang w:val="en-GB" w:eastAsia="en-US"/>
    </w:rPr>
  </w:style>
  <w:style w:type="paragraph" w:customStyle="1" w:styleId="Default">
    <w:name w:val="Default"/>
    <w:rsid w:val="004C1371"/>
    <w:pPr>
      <w:autoSpaceDE w:val="0"/>
      <w:autoSpaceDN w:val="0"/>
      <w:adjustRightInd w:val="0"/>
    </w:pPr>
    <w:rPr>
      <w:rFonts w:ascii="Times New Roman" w:hAnsi="Times New Roman"/>
      <w:color w:val="000000"/>
      <w:sz w:val="24"/>
      <w:szCs w:val="24"/>
      <w:lang w:val="en-US" w:eastAsia="en-US"/>
    </w:rPr>
  </w:style>
  <w:style w:type="paragraph" w:styleId="ListParagraph">
    <w:name w:val="List Paragraph"/>
    <w:basedOn w:val="Normal"/>
    <w:uiPriority w:val="34"/>
    <w:qFormat/>
    <w:rsid w:val="00836CB3"/>
    <w:pPr>
      <w:ind w:left="720"/>
    </w:pPr>
  </w:style>
  <w:style w:type="paragraph" w:styleId="EndnoteText">
    <w:name w:val="endnote text"/>
    <w:basedOn w:val="Normal"/>
    <w:link w:val="EndnoteTextChar"/>
    <w:uiPriority w:val="99"/>
    <w:semiHidden/>
    <w:unhideWhenUsed/>
    <w:rsid w:val="00DA36F6"/>
    <w:rPr>
      <w:sz w:val="20"/>
      <w:szCs w:val="20"/>
    </w:rPr>
  </w:style>
  <w:style w:type="character" w:customStyle="1" w:styleId="EndnoteTextChar">
    <w:name w:val="Endnote Text Char"/>
    <w:link w:val="EndnoteText"/>
    <w:uiPriority w:val="99"/>
    <w:semiHidden/>
    <w:rsid w:val="00DA36F6"/>
    <w:rPr>
      <w:lang w:val="en-GB"/>
    </w:rPr>
  </w:style>
  <w:style w:type="character" w:styleId="EndnoteReference">
    <w:name w:val="endnote reference"/>
    <w:uiPriority w:val="99"/>
    <w:semiHidden/>
    <w:unhideWhenUsed/>
    <w:rsid w:val="00DA36F6"/>
    <w:rPr>
      <w:vertAlign w:val="superscript"/>
    </w:rPr>
  </w:style>
  <w:style w:type="paragraph" w:styleId="NoSpacing">
    <w:name w:val="No Spacing"/>
    <w:uiPriority w:val="1"/>
    <w:qFormat/>
    <w:rsid w:val="00697363"/>
    <w:rPr>
      <w:sz w:val="22"/>
      <w:szCs w:val="22"/>
      <w:lang w:eastAsia="en-US"/>
    </w:rPr>
  </w:style>
  <w:style w:type="character" w:styleId="FollowedHyperlink">
    <w:name w:val="FollowedHyperlink"/>
    <w:uiPriority w:val="99"/>
    <w:semiHidden/>
    <w:unhideWhenUsed/>
    <w:rsid w:val="003270ED"/>
    <w:rPr>
      <w:color w:val="800080"/>
      <w:u w:val="single"/>
    </w:rPr>
  </w:style>
  <w:style w:type="paragraph" w:styleId="BodyText">
    <w:name w:val="Body Text"/>
    <w:basedOn w:val="Normal"/>
    <w:link w:val="BodyTextChar"/>
    <w:rsid w:val="007E4BD9"/>
    <w:pPr>
      <w:spacing w:after="120" w:line="240" w:lineRule="auto"/>
    </w:pPr>
    <w:rPr>
      <w:rFonts w:ascii="Arial" w:eastAsia="Times New Roman" w:hAnsi="Arial"/>
      <w:sz w:val="20"/>
      <w:szCs w:val="20"/>
      <w:lang w:val="fr-FR"/>
    </w:rPr>
  </w:style>
  <w:style w:type="character" w:customStyle="1" w:styleId="BodyTextChar">
    <w:name w:val="Body Text Char"/>
    <w:link w:val="BodyText"/>
    <w:rsid w:val="007E4BD9"/>
    <w:rPr>
      <w:rFonts w:ascii="Arial" w:eastAsia="Times New Roman" w:hAnsi="Arial"/>
      <w:lang w:val="fr-FR" w:eastAsia="en-US"/>
    </w:rPr>
  </w:style>
  <w:style w:type="character" w:styleId="Strong">
    <w:name w:val="Strong"/>
    <w:qFormat/>
    <w:rsid w:val="00D7615F"/>
    <w:rPr>
      <w:b/>
      <w:bCs/>
    </w:rPr>
  </w:style>
  <w:style w:type="character" w:customStyle="1" w:styleId="hit1">
    <w:name w:val="hit1"/>
    <w:rsid w:val="00ED31D7"/>
    <w:rPr>
      <w:b/>
      <w:bCs/>
      <w:color w:val="CC0033"/>
    </w:rPr>
  </w:style>
  <w:style w:type="character" w:customStyle="1" w:styleId="bold1">
    <w:name w:val="bold1"/>
    <w:rsid w:val="00ED31D7"/>
    <w:rPr>
      <w:b/>
      <w:bCs/>
    </w:rPr>
  </w:style>
  <w:style w:type="paragraph" w:customStyle="1" w:styleId="loose">
    <w:name w:val="loose"/>
    <w:basedOn w:val="Normal"/>
    <w:rsid w:val="00ED31D7"/>
    <w:pPr>
      <w:spacing w:before="168" w:after="0" w:line="240" w:lineRule="auto"/>
    </w:pPr>
    <w:rPr>
      <w:rFonts w:ascii="Times New Roman" w:hAnsi="Times New Roman"/>
      <w:sz w:val="24"/>
      <w:szCs w:val="24"/>
      <w:lang w:eastAsia="en-GB"/>
    </w:rPr>
  </w:style>
  <w:style w:type="paragraph" w:styleId="Revision">
    <w:name w:val="Revision"/>
    <w:hidden/>
    <w:uiPriority w:val="99"/>
    <w:semiHidden/>
    <w:rsid w:val="002D639C"/>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48656014">
      <w:bodyDiv w:val="1"/>
      <w:marLeft w:val="0"/>
      <w:marRight w:val="0"/>
      <w:marTop w:val="0"/>
      <w:marBottom w:val="0"/>
      <w:divBdr>
        <w:top w:val="none" w:sz="0" w:space="0" w:color="auto"/>
        <w:left w:val="none" w:sz="0" w:space="0" w:color="auto"/>
        <w:bottom w:val="none" w:sz="0" w:space="0" w:color="auto"/>
        <w:right w:val="none" w:sz="0" w:space="0" w:color="auto"/>
      </w:divBdr>
    </w:div>
    <w:div w:id="62145805">
      <w:bodyDiv w:val="1"/>
      <w:marLeft w:val="0"/>
      <w:marRight w:val="0"/>
      <w:marTop w:val="0"/>
      <w:marBottom w:val="0"/>
      <w:divBdr>
        <w:top w:val="none" w:sz="0" w:space="0" w:color="auto"/>
        <w:left w:val="none" w:sz="0" w:space="0" w:color="auto"/>
        <w:bottom w:val="none" w:sz="0" w:space="0" w:color="auto"/>
        <w:right w:val="none" w:sz="0" w:space="0" w:color="auto"/>
      </w:divBdr>
    </w:div>
    <w:div w:id="85346980">
      <w:bodyDiv w:val="1"/>
      <w:marLeft w:val="0"/>
      <w:marRight w:val="0"/>
      <w:marTop w:val="0"/>
      <w:marBottom w:val="0"/>
      <w:divBdr>
        <w:top w:val="none" w:sz="0" w:space="0" w:color="auto"/>
        <w:left w:val="none" w:sz="0" w:space="0" w:color="auto"/>
        <w:bottom w:val="none" w:sz="0" w:space="0" w:color="auto"/>
        <w:right w:val="none" w:sz="0" w:space="0" w:color="auto"/>
      </w:divBdr>
    </w:div>
    <w:div w:id="86119607">
      <w:bodyDiv w:val="1"/>
      <w:marLeft w:val="0"/>
      <w:marRight w:val="0"/>
      <w:marTop w:val="0"/>
      <w:marBottom w:val="0"/>
      <w:divBdr>
        <w:top w:val="none" w:sz="0" w:space="0" w:color="auto"/>
        <w:left w:val="none" w:sz="0" w:space="0" w:color="auto"/>
        <w:bottom w:val="none" w:sz="0" w:space="0" w:color="auto"/>
        <w:right w:val="none" w:sz="0" w:space="0" w:color="auto"/>
      </w:divBdr>
    </w:div>
    <w:div w:id="106891963">
      <w:bodyDiv w:val="1"/>
      <w:marLeft w:val="0"/>
      <w:marRight w:val="0"/>
      <w:marTop w:val="0"/>
      <w:marBottom w:val="0"/>
      <w:divBdr>
        <w:top w:val="none" w:sz="0" w:space="0" w:color="auto"/>
        <w:left w:val="none" w:sz="0" w:space="0" w:color="auto"/>
        <w:bottom w:val="none" w:sz="0" w:space="0" w:color="auto"/>
        <w:right w:val="none" w:sz="0" w:space="0" w:color="auto"/>
      </w:divBdr>
    </w:div>
    <w:div w:id="234241947">
      <w:bodyDiv w:val="1"/>
      <w:marLeft w:val="0"/>
      <w:marRight w:val="0"/>
      <w:marTop w:val="0"/>
      <w:marBottom w:val="0"/>
      <w:divBdr>
        <w:top w:val="none" w:sz="0" w:space="0" w:color="auto"/>
        <w:left w:val="none" w:sz="0" w:space="0" w:color="auto"/>
        <w:bottom w:val="none" w:sz="0" w:space="0" w:color="auto"/>
        <w:right w:val="none" w:sz="0" w:space="0" w:color="auto"/>
      </w:divBdr>
    </w:div>
    <w:div w:id="377703050">
      <w:bodyDiv w:val="1"/>
      <w:marLeft w:val="0"/>
      <w:marRight w:val="0"/>
      <w:marTop w:val="0"/>
      <w:marBottom w:val="0"/>
      <w:divBdr>
        <w:top w:val="none" w:sz="0" w:space="0" w:color="auto"/>
        <w:left w:val="none" w:sz="0" w:space="0" w:color="auto"/>
        <w:bottom w:val="none" w:sz="0" w:space="0" w:color="auto"/>
        <w:right w:val="none" w:sz="0" w:space="0" w:color="auto"/>
      </w:divBdr>
    </w:div>
    <w:div w:id="431560348">
      <w:bodyDiv w:val="1"/>
      <w:marLeft w:val="0"/>
      <w:marRight w:val="0"/>
      <w:marTop w:val="0"/>
      <w:marBottom w:val="0"/>
      <w:divBdr>
        <w:top w:val="none" w:sz="0" w:space="0" w:color="auto"/>
        <w:left w:val="none" w:sz="0" w:space="0" w:color="auto"/>
        <w:bottom w:val="none" w:sz="0" w:space="0" w:color="auto"/>
        <w:right w:val="none" w:sz="0" w:space="0" w:color="auto"/>
      </w:divBdr>
    </w:div>
    <w:div w:id="432895473">
      <w:bodyDiv w:val="1"/>
      <w:marLeft w:val="0"/>
      <w:marRight w:val="0"/>
      <w:marTop w:val="0"/>
      <w:marBottom w:val="0"/>
      <w:divBdr>
        <w:top w:val="none" w:sz="0" w:space="0" w:color="auto"/>
        <w:left w:val="none" w:sz="0" w:space="0" w:color="auto"/>
        <w:bottom w:val="none" w:sz="0" w:space="0" w:color="auto"/>
        <w:right w:val="none" w:sz="0" w:space="0" w:color="auto"/>
      </w:divBdr>
    </w:div>
    <w:div w:id="498426924">
      <w:bodyDiv w:val="1"/>
      <w:marLeft w:val="0"/>
      <w:marRight w:val="0"/>
      <w:marTop w:val="0"/>
      <w:marBottom w:val="0"/>
      <w:divBdr>
        <w:top w:val="none" w:sz="0" w:space="0" w:color="auto"/>
        <w:left w:val="none" w:sz="0" w:space="0" w:color="auto"/>
        <w:bottom w:val="none" w:sz="0" w:space="0" w:color="auto"/>
        <w:right w:val="none" w:sz="0" w:space="0" w:color="auto"/>
      </w:divBdr>
    </w:div>
    <w:div w:id="551422432">
      <w:bodyDiv w:val="1"/>
      <w:marLeft w:val="0"/>
      <w:marRight w:val="0"/>
      <w:marTop w:val="0"/>
      <w:marBottom w:val="0"/>
      <w:divBdr>
        <w:top w:val="none" w:sz="0" w:space="0" w:color="auto"/>
        <w:left w:val="none" w:sz="0" w:space="0" w:color="auto"/>
        <w:bottom w:val="none" w:sz="0" w:space="0" w:color="auto"/>
        <w:right w:val="none" w:sz="0" w:space="0" w:color="auto"/>
      </w:divBdr>
    </w:div>
    <w:div w:id="588319306">
      <w:bodyDiv w:val="1"/>
      <w:marLeft w:val="0"/>
      <w:marRight w:val="0"/>
      <w:marTop w:val="0"/>
      <w:marBottom w:val="0"/>
      <w:divBdr>
        <w:top w:val="none" w:sz="0" w:space="0" w:color="auto"/>
        <w:left w:val="none" w:sz="0" w:space="0" w:color="auto"/>
        <w:bottom w:val="none" w:sz="0" w:space="0" w:color="auto"/>
        <w:right w:val="none" w:sz="0" w:space="0" w:color="auto"/>
      </w:divBdr>
    </w:div>
    <w:div w:id="727807595">
      <w:bodyDiv w:val="1"/>
      <w:marLeft w:val="0"/>
      <w:marRight w:val="0"/>
      <w:marTop w:val="0"/>
      <w:marBottom w:val="0"/>
      <w:divBdr>
        <w:top w:val="none" w:sz="0" w:space="0" w:color="auto"/>
        <w:left w:val="none" w:sz="0" w:space="0" w:color="auto"/>
        <w:bottom w:val="none" w:sz="0" w:space="0" w:color="auto"/>
        <w:right w:val="none" w:sz="0" w:space="0" w:color="auto"/>
      </w:divBdr>
    </w:div>
    <w:div w:id="899557669">
      <w:bodyDiv w:val="1"/>
      <w:marLeft w:val="0"/>
      <w:marRight w:val="0"/>
      <w:marTop w:val="0"/>
      <w:marBottom w:val="0"/>
      <w:divBdr>
        <w:top w:val="none" w:sz="0" w:space="0" w:color="auto"/>
        <w:left w:val="none" w:sz="0" w:space="0" w:color="auto"/>
        <w:bottom w:val="none" w:sz="0" w:space="0" w:color="auto"/>
        <w:right w:val="none" w:sz="0" w:space="0" w:color="auto"/>
      </w:divBdr>
    </w:div>
    <w:div w:id="1248803710">
      <w:bodyDiv w:val="1"/>
      <w:marLeft w:val="0"/>
      <w:marRight w:val="0"/>
      <w:marTop w:val="0"/>
      <w:marBottom w:val="0"/>
      <w:divBdr>
        <w:top w:val="none" w:sz="0" w:space="0" w:color="auto"/>
        <w:left w:val="none" w:sz="0" w:space="0" w:color="auto"/>
        <w:bottom w:val="none" w:sz="0" w:space="0" w:color="auto"/>
        <w:right w:val="none" w:sz="0" w:space="0" w:color="auto"/>
      </w:divBdr>
    </w:div>
    <w:div w:id="1267619235">
      <w:bodyDiv w:val="1"/>
      <w:marLeft w:val="0"/>
      <w:marRight w:val="0"/>
      <w:marTop w:val="0"/>
      <w:marBottom w:val="0"/>
      <w:divBdr>
        <w:top w:val="none" w:sz="0" w:space="0" w:color="auto"/>
        <w:left w:val="none" w:sz="0" w:space="0" w:color="auto"/>
        <w:bottom w:val="none" w:sz="0" w:space="0" w:color="auto"/>
        <w:right w:val="none" w:sz="0" w:space="0" w:color="auto"/>
      </w:divBdr>
    </w:div>
    <w:div w:id="1401445618">
      <w:bodyDiv w:val="1"/>
      <w:marLeft w:val="0"/>
      <w:marRight w:val="0"/>
      <w:marTop w:val="0"/>
      <w:marBottom w:val="0"/>
      <w:divBdr>
        <w:top w:val="none" w:sz="0" w:space="0" w:color="auto"/>
        <w:left w:val="none" w:sz="0" w:space="0" w:color="auto"/>
        <w:bottom w:val="none" w:sz="0" w:space="0" w:color="auto"/>
        <w:right w:val="none" w:sz="0" w:space="0" w:color="auto"/>
      </w:divBdr>
    </w:div>
    <w:div w:id="1564871447">
      <w:bodyDiv w:val="1"/>
      <w:marLeft w:val="0"/>
      <w:marRight w:val="0"/>
      <w:marTop w:val="0"/>
      <w:marBottom w:val="0"/>
      <w:divBdr>
        <w:top w:val="none" w:sz="0" w:space="0" w:color="auto"/>
        <w:left w:val="none" w:sz="0" w:space="0" w:color="auto"/>
        <w:bottom w:val="none" w:sz="0" w:space="0" w:color="auto"/>
        <w:right w:val="none" w:sz="0" w:space="0" w:color="auto"/>
      </w:divBdr>
    </w:div>
    <w:div w:id="1607540457">
      <w:bodyDiv w:val="1"/>
      <w:marLeft w:val="0"/>
      <w:marRight w:val="0"/>
      <w:marTop w:val="0"/>
      <w:marBottom w:val="0"/>
      <w:divBdr>
        <w:top w:val="none" w:sz="0" w:space="0" w:color="auto"/>
        <w:left w:val="none" w:sz="0" w:space="0" w:color="auto"/>
        <w:bottom w:val="none" w:sz="0" w:space="0" w:color="auto"/>
        <w:right w:val="none" w:sz="0" w:space="0" w:color="auto"/>
      </w:divBdr>
    </w:div>
    <w:div w:id="1640648772">
      <w:bodyDiv w:val="1"/>
      <w:marLeft w:val="0"/>
      <w:marRight w:val="0"/>
      <w:marTop w:val="0"/>
      <w:marBottom w:val="0"/>
      <w:divBdr>
        <w:top w:val="none" w:sz="0" w:space="0" w:color="auto"/>
        <w:left w:val="none" w:sz="0" w:space="0" w:color="auto"/>
        <w:bottom w:val="none" w:sz="0" w:space="0" w:color="auto"/>
        <w:right w:val="none" w:sz="0" w:space="0" w:color="auto"/>
      </w:divBdr>
    </w:div>
    <w:div w:id="1782719628">
      <w:bodyDiv w:val="1"/>
      <w:marLeft w:val="0"/>
      <w:marRight w:val="0"/>
      <w:marTop w:val="0"/>
      <w:marBottom w:val="0"/>
      <w:divBdr>
        <w:top w:val="none" w:sz="0" w:space="0" w:color="auto"/>
        <w:left w:val="none" w:sz="0" w:space="0" w:color="auto"/>
        <w:bottom w:val="none" w:sz="0" w:space="0" w:color="auto"/>
        <w:right w:val="none" w:sz="0" w:space="0" w:color="auto"/>
      </w:divBdr>
    </w:div>
    <w:div w:id="1807889731">
      <w:bodyDiv w:val="1"/>
      <w:marLeft w:val="0"/>
      <w:marRight w:val="0"/>
      <w:marTop w:val="0"/>
      <w:marBottom w:val="0"/>
      <w:divBdr>
        <w:top w:val="none" w:sz="0" w:space="0" w:color="auto"/>
        <w:left w:val="none" w:sz="0" w:space="0" w:color="auto"/>
        <w:bottom w:val="none" w:sz="0" w:space="0" w:color="auto"/>
        <w:right w:val="none" w:sz="0" w:space="0" w:color="auto"/>
      </w:divBdr>
    </w:div>
    <w:div w:id="1812407932">
      <w:bodyDiv w:val="1"/>
      <w:marLeft w:val="0"/>
      <w:marRight w:val="0"/>
      <w:marTop w:val="0"/>
      <w:marBottom w:val="0"/>
      <w:divBdr>
        <w:top w:val="none" w:sz="0" w:space="0" w:color="auto"/>
        <w:left w:val="none" w:sz="0" w:space="0" w:color="auto"/>
        <w:bottom w:val="none" w:sz="0" w:space="0" w:color="auto"/>
        <w:right w:val="none" w:sz="0" w:space="0" w:color="auto"/>
      </w:divBdr>
    </w:div>
    <w:div w:id="1962490905">
      <w:bodyDiv w:val="1"/>
      <w:marLeft w:val="0"/>
      <w:marRight w:val="0"/>
      <w:marTop w:val="0"/>
      <w:marBottom w:val="0"/>
      <w:divBdr>
        <w:top w:val="none" w:sz="0" w:space="0" w:color="auto"/>
        <w:left w:val="none" w:sz="0" w:space="0" w:color="auto"/>
        <w:bottom w:val="none" w:sz="0" w:space="0" w:color="auto"/>
        <w:right w:val="none" w:sz="0" w:space="0" w:color="auto"/>
      </w:divBdr>
    </w:div>
    <w:div w:id="2125146430">
      <w:bodyDiv w:val="1"/>
      <w:marLeft w:val="0"/>
      <w:marRight w:val="0"/>
      <w:marTop w:val="0"/>
      <w:marBottom w:val="0"/>
      <w:divBdr>
        <w:top w:val="none" w:sz="0" w:space="0" w:color="auto"/>
        <w:left w:val="none" w:sz="0" w:space="0" w:color="auto"/>
        <w:bottom w:val="none" w:sz="0" w:space="0" w:color="auto"/>
        <w:right w:val="none" w:sz="0" w:space="0" w:color="auto"/>
      </w:divBdr>
    </w:div>
    <w:div w:id="2132822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isda.org"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89402-49F7-4452-9588-EE7E2908A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4298</Words>
  <Characters>24501</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SIFMA</Company>
  <LinksUpToDate>false</LinksUpToDate>
  <CharactersWithSpaces>28742</CharactersWithSpaces>
  <SharedDoc>false</SharedDoc>
  <HLinks>
    <vt:vector size="6" baseType="variant">
      <vt:variant>
        <vt:i4>5570634</vt:i4>
      </vt:variant>
      <vt:variant>
        <vt:i4>0</vt:i4>
      </vt:variant>
      <vt:variant>
        <vt:i4>0</vt:i4>
      </vt:variant>
      <vt:variant>
        <vt:i4>5</vt:i4>
      </vt:variant>
      <vt:variant>
        <vt:lpwstr>http://www.isda.org/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Jacobs</dc:creator>
  <cp:lastModifiedBy>WFerrari</cp:lastModifiedBy>
  <cp:revision>2</cp:revision>
  <cp:lastPrinted>2014-05-30T14:13:00Z</cp:lastPrinted>
  <dcterms:created xsi:type="dcterms:W3CDTF">2014-05-30T18:27:00Z</dcterms:created>
  <dcterms:modified xsi:type="dcterms:W3CDTF">2014-05-30T18:27:00Z</dcterms:modified>
</cp:coreProperties>
</file>