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9D3" w:rsidRDefault="002279D3" w:rsidP="00FF004E">
      <w:pPr>
        <w:pStyle w:val="Header"/>
        <w:pBdr>
          <w:bottom w:val="thickThinSmallGap" w:sz="24" w:space="1" w:color="622423"/>
        </w:pBdr>
        <w:jc w:val="center"/>
        <w:rPr>
          <w:rFonts w:ascii="Verdana" w:hAnsi="Verdana" w:cs="Verdana"/>
          <w:b/>
          <w:bCs/>
          <w:sz w:val="32"/>
          <w:szCs w:val="32"/>
        </w:rPr>
      </w:pPr>
    </w:p>
    <w:p w:rsidR="002279D3" w:rsidRDefault="002279D3" w:rsidP="00FF004E">
      <w:pPr>
        <w:pStyle w:val="Header"/>
        <w:pBdr>
          <w:bottom w:val="thickThinSmallGap" w:sz="24" w:space="1" w:color="622423"/>
        </w:pBdr>
        <w:jc w:val="center"/>
        <w:rPr>
          <w:rFonts w:ascii="Verdana" w:hAnsi="Verdana" w:cs="Verdana"/>
          <w:b/>
          <w:bCs/>
          <w:sz w:val="28"/>
          <w:szCs w:val="28"/>
        </w:rPr>
      </w:pPr>
      <w:r w:rsidRPr="00FF004E">
        <w:rPr>
          <w:rFonts w:ascii="Verdana" w:hAnsi="Verdana" w:cs="Verdana"/>
          <w:b/>
          <w:bCs/>
          <w:sz w:val="28"/>
          <w:szCs w:val="28"/>
        </w:rPr>
        <w:t xml:space="preserve">WMBA </w:t>
      </w:r>
      <w:smartTag w:uri="urn:schemas-microsoft-com:office:smarttags" w:element="stockticker">
        <w:r w:rsidRPr="00FF004E">
          <w:rPr>
            <w:rFonts w:ascii="Verdana" w:hAnsi="Verdana" w:cs="Verdana"/>
            <w:b/>
            <w:bCs/>
            <w:sz w:val="28"/>
            <w:szCs w:val="28"/>
          </w:rPr>
          <w:t>AND</w:t>
        </w:r>
      </w:smartTag>
      <w:r w:rsidRPr="00FF004E">
        <w:rPr>
          <w:rFonts w:ascii="Verdana" w:hAnsi="Verdana" w:cs="Verdana"/>
          <w:b/>
          <w:bCs/>
          <w:sz w:val="28"/>
          <w:szCs w:val="28"/>
        </w:rPr>
        <w:t xml:space="preserve"> LEBA RESPONSE TO </w:t>
      </w:r>
    </w:p>
    <w:p w:rsidR="002279D3" w:rsidRPr="00FF004E" w:rsidRDefault="002279D3" w:rsidP="00FF004E">
      <w:pPr>
        <w:pStyle w:val="Header"/>
        <w:pBdr>
          <w:bottom w:val="thickThinSmallGap" w:sz="24" w:space="1" w:color="622423"/>
        </w:pBdr>
        <w:jc w:val="center"/>
        <w:rPr>
          <w:rFonts w:ascii="Verdana" w:hAnsi="Verdana" w:cs="Verdana"/>
          <w:b/>
          <w:bCs/>
          <w:sz w:val="28"/>
          <w:szCs w:val="28"/>
        </w:rPr>
      </w:pPr>
      <w:r w:rsidRPr="00FF004E">
        <w:rPr>
          <w:rFonts w:ascii="Verdana" w:hAnsi="Verdana" w:cs="Verdana"/>
          <w:b/>
          <w:bCs/>
          <w:sz w:val="28"/>
          <w:szCs w:val="28"/>
        </w:rPr>
        <w:t>CESR CONSULTATION PAPER</w:t>
      </w:r>
    </w:p>
    <w:p w:rsidR="002279D3" w:rsidRPr="00FF004E" w:rsidRDefault="002279D3" w:rsidP="00FF004E">
      <w:pPr>
        <w:pStyle w:val="Header"/>
        <w:pBdr>
          <w:bottom w:val="thickThinSmallGap" w:sz="24" w:space="1" w:color="622423"/>
        </w:pBdr>
        <w:jc w:val="center"/>
        <w:rPr>
          <w:rFonts w:ascii="Verdana" w:hAnsi="Verdana" w:cs="Verdana"/>
          <w:b/>
          <w:bCs/>
          <w:sz w:val="28"/>
          <w:szCs w:val="28"/>
        </w:rPr>
      </w:pPr>
      <w:r w:rsidRPr="00FF004E">
        <w:rPr>
          <w:rFonts w:ascii="Verdana" w:hAnsi="Verdana" w:cs="Verdana"/>
          <w:b/>
          <w:bCs/>
          <w:sz w:val="28"/>
          <w:szCs w:val="28"/>
        </w:rPr>
        <w:t>MiFID REVIEW- CLIENT CLASSIFICATIONS</w:t>
      </w:r>
    </w:p>
    <w:p w:rsidR="002279D3" w:rsidRPr="00FF004E" w:rsidRDefault="002279D3" w:rsidP="00FF004E">
      <w:pPr>
        <w:pStyle w:val="Header"/>
        <w:rPr>
          <w:rFonts w:ascii="Verdana" w:hAnsi="Verdana" w:cs="Verdana"/>
        </w:rPr>
      </w:pPr>
    </w:p>
    <w:p w:rsidR="002279D3" w:rsidRPr="00FF004E" w:rsidRDefault="002279D3" w:rsidP="00FF004E">
      <w:pPr>
        <w:pStyle w:val="Body"/>
        <w:numPr>
          <w:ilvl w:val="0"/>
          <w:numId w:val="2"/>
        </w:numPr>
        <w:spacing w:line="240" w:lineRule="auto"/>
        <w:ind w:left="284" w:hanging="284"/>
        <w:jc w:val="left"/>
        <w:rPr>
          <w:rFonts w:ascii="Verdana" w:hAnsi="Verdana" w:cs="Verdana"/>
          <w:b/>
          <w:bCs/>
          <w:sz w:val="22"/>
          <w:szCs w:val="22"/>
        </w:rPr>
      </w:pPr>
      <w:r w:rsidRPr="00FF004E">
        <w:rPr>
          <w:rFonts w:ascii="Verdana" w:hAnsi="Verdana" w:cs="Verdana"/>
          <w:b/>
          <w:bCs/>
          <w:sz w:val="22"/>
          <w:szCs w:val="22"/>
        </w:rPr>
        <w:t xml:space="preserve"> Introduction</w:t>
      </w:r>
    </w:p>
    <w:p w:rsidR="002279D3" w:rsidRPr="00FF004E" w:rsidRDefault="002279D3" w:rsidP="00FF004E">
      <w:pPr>
        <w:pStyle w:val="Body"/>
        <w:spacing w:line="240" w:lineRule="auto"/>
        <w:rPr>
          <w:rFonts w:ascii="Verdana" w:hAnsi="Verdana" w:cs="Verdana"/>
        </w:rPr>
      </w:pPr>
      <w:r w:rsidRPr="00FF004E">
        <w:rPr>
          <w:rFonts w:ascii="Verdana" w:hAnsi="Verdana" w:cs="Verdana"/>
        </w:rPr>
        <w:t xml:space="preserve">The Wholesale Markets Brokers’ Association (WMBA) and the London Energy Brokers’ Association (LEBA) are the European industry associations for the Interdealer Brokers (“IDBs”) in the wholesale Over-the-Counter (“OTC”) financial, energy/commodity, equity, credit, cash and derivatives products. Their members’ client bases are made up of governments and treasuries, global and regional credit institutions, primary dealers, fund and asset managers, oil companies, energy generators, and transmission operators. </w:t>
      </w:r>
    </w:p>
    <w:p w:rsidR="002279D3" w:rsidRPr="00FF004E" w:rsidRDefault="002279D3" w:rsidP="00FF004E">
      <w:pPr>
        <w:autoSpaceDE w:val="0"/>
        <w:autoSpaceDN w:val="0"/>
        <w:adjustRightInd w:val="0"/>
        <w:ind w:left="0" w:right="0"/>
        <w:jc w:val="both"/>
        <w:rPr>
          <w:rFonts w:ascii="Verdana" w:hAnsi="Verdana" w:cs="Verdana"/>
          <w:sz w:val="23"/>
          <w:szCs w:val="23"/>
        </w:rPr>
      </w:pPr>
      <w:r w:rsidRPr="00FF004E">
        <w:rPr>
          <w:rFonts w:ascii="Verdana" w:hAnsi="Verdana" w:cs="Verdana"/>
        </w:rPr>
        <w:t>WMBA &amp; LEBA members are, inter-alia, authorised to arrange deals in investments and to make arrangements with a view to transactions in investments and to deal as agent and/ or principal.</w:t>
      </w:r>
      <w:r w:rsidRPr="00FF004E">
        <w:rPr>
          <w:rFonts w:ascii="Verdana" w:hAnsi="Verdana" w:cs="Verdana"/>
          <w:sz w:val="23"/>
          <w:szCs w:val="23"/>
        </w:rPr>
        <w:t xml:space="preserve"> </w:t>
      </w:r>
    </w:p>
    <w:p w:rsidR="002279D3" w:rsidRPr="00FF004E" w:rsidRDefault="002279D3" w:rsidP="00FF004E">
      <w:pPr>
        <w:autoSpaceDE w:val="0"/>
        <w:autoSpaceDN w:val="0"/>
        <w:adjustRightInd w:val="0"/>
        <w:ind w:left="0" w:right="0"/>
        <w:jc w:val="both"/>
        <w:rPr>
          <w:rFonts w:ascii="Verdana" w:hAnsi="Verdana" w:cs="Verdana"/>
          <w:sz w:val="23"/>
          <w:szCs w:val="23"/>
        </w:rPr>
      </w:pPr>
    </w:p>
    <w:p w:rsidR="002279D3" w:rsidRPr="00FF004E" w:rsidRDefault="002279D3" w:rsidP="00FF004E">
      <w:pPr>
        <w:autoSpaceDE w:val="0"/>
        <w:autoSpaceDN w:val="0"/>
        <w:adjustRightInd w:val="0"/>
        <w:ind w:left="0" w:right="0"/>
        <w:jc w:val="both"/>
        <w:rPr>
          <w:rFonts w:ascii="Verdana" w:hAnsi="Verdana" w:cs="Verdana"/>
        </w:rPr>
      </w:pPr>
      <w:r w:rsidRPr="00FF004E">
        <w:rPr>
          <w:rFonts w:ascii="Verdana" w:hAnsi="Verdana" w:cs="Verdana"/>
        </w:rPr>
        <w:t xml:space="preserve">WMBA &amp; LEBA are very supportive of the work undertaken by CESR and the measures that protect the integrity of markets and investors. </w:t>
      </w:r>
    </w:p>
    <w:p w:rsidR="002279D3" w:rsidRDefault="002279D3" w:rsidP="00FF004E">
      <w:pPr>
        <w:pStyle w:val="Body"/>
        <w:spacing w:line="240" w:lineRule="auto"/>
        <w:jc w:val="left"/>
        <w:rPr>
          <w:rFonts w:ascii="Verdana" w:hAnsi="Verdana" w:cs="Verdana"/>
          <w:b/>
          <w:bCs/>
        </w:rPr>
      </w:pPr>
    </w:p>
    <w:p w:rsidR="002279D3" w:rsidRPr="00FF004E" w:rsidRDefault="002279D3" w:rsidP="00FF004E">
      <w:pPr>
        <w:pStyle w:val="Body"/>
        <w:spacing w:line="240" w:lineRule="auto"/>
        <w:jc w:val="left"/>
        <w:rPr>
          <w:rFonts w:ascii="Verdana" w:hAnsi="Verdana" w:cs="Verdana"/>
          <w:b/>
          <w:bCs/>
        </w:rPr>
      </w:pPr>
      <w:r w:rsidRPr="00FF004E">
        <w:rPr>
          <w:rFonts w:ascii="Verdana" w:hAnsi="Verdana" w:cs="Verdana"/>
          <w:b/>
          <w:bCs/>
        </w:rPr>
        <w:t>2</w:t>
      </w:r>
      <w:r w:rsidRPr="00FF004E">
        <w:rPr>
          <w:rFonts w:ascii="Verdana" w:hAnsi="Verdana" w:cs="Verdana"/>
          <w:b/>
          <w:bCs/>
          <w:sz w:val="24"/>
          <w:szCs w:val="24"/>
        </w:rPr>
        <w:t>.  Responses to the CESR specific questions</w:t>
      </w:r>
    </w:p>
    <w:p w:rsidR="002279D3" w:rsidRPr="00FF004E" w:rsidRDefault="002279D3" w:rsidP="00FF004E">
      <w:pPr>
        <w:pStyle w:val="Body"/>
        <w:spacing w:line="240" w:lineRule="auto"/>
        <w:rPr>
          <w:rFonts w:ascii="Verdana" w:hAnsi="Verdana" w:cs="Verdana"/>
        </w:rPr>
      </w:pPr>
      <w:r w:rsidRPr="00FF004E">
        <w:rPr>
          <w:rFonts w:ascii="Verdana" w:hAnsi="Verdana" w:cs="Verdana"/>
        </w:rPr>
        <w:t xml:space="preserve">The WMBA &amp; LEBA welcome the opportunity to respond to the Consultation Paper and shape </w:t>
      </w:r>
      <w:smartTag w:uri="urn:schemas-microsoft-com:office:smarttags" w:element="stockticker">
        <w:r w:rsidRPr="00FF004E">
          <w:rPr>
            <w:rFonts w:ascii="Verdana" w:hAnsi="Verdana" w:cs="Verdana"/>
          </w:rPr>
          <w:t>CERS</w:t>
        </w:r>
      </w:smartTag>
      <w:r w:rsidRPr="00FF004E">
        <w:rPr>
          <w:rFonts w:ascii="Verdana" w:hAnsi="Verdana" w:cs="Verdana"/>
        </w:rPr>
        <w:t>’s approach to the questions on client classification that has been asked by the EC as it concurs with CESR’s opinion that “these raise significant policy issues, including some which go beyond the confines of the questions that have been asked….”</w:t>
      </w:r>
    </w:p>
    <w:p w:rsidR="002279D3" w:rsidRPr="00FF004E" w:rsidRDefault="002279D3" w:rsidP="00FF004E">
      <w:pPr>
        <w:pStyle w:val="Body"/>
        <w:spacing w:line="240" w:lineRule="auto"/>
        <w:rPr>
          <w:rFonts w:ascii="Verdana" w:hAnsi="Verdana" w:cs="Verdana"/>
        </w:rPr>
      </w:pPr>
      <w:r w:rsidRPr="00FF004E">
        <w:rPr>
          <w:rFonts w:ascii="Verdana" w:hAnsi="Verdana" w:cs="Verdana"/>
        </w:rPr>
        <w:t>The WMBA &amp; LEBA have only responded to the questions where they or their members have relevant expertise/ experience and their responses are detailed below.</w:t>
      </w:r>
    </w:p>
    <w:p w:rsidR="002279D3" w:rsidRPr="00FF004E" w:rsidRDefault="002279D3" w:rsidP="00FF004E">
      <w:pPr>
        <w:pStyle w:val="Body"/>
        <w:spacing w:line="240" w:lineRule="auto"/>
        <w:jc w:val="left"/>
        <w:rPr>
          <w:rFonts w:ascii="Verdana" w:hAnsi="Verdana" w:cs="Verdana"/>
          <w:b/>
          <w:bCs/>
        </w:rPr>
      </w:pPr>
      <w:r w:rsidRPr="00FF004E">
        <w:rPr>
          <w:rFonts w:ascii="Verdana" w:hAnsi="Verdana" w:cs="Verdana"/>
          <w:b/>
          <w:bCs/>
        </w:rPr>
        <w:t>Q1 Do you agree that the opening sentence of Annex 11.1(1) sets the scope of this provision and that points (a) to (i)  are just examples of “Entities which are required to be authorized or regulated to operate financial markets”</w:t>
      </w:r>
      <w:r>
        <w:rPr>
          <w:rFonts w:ascii="Verdana" w:hAnsi="Verdana" w:cs="Verdana"/>
          <w:b/>
          <w:bCs/>
        </w:rPr>
        <w:br/>
      </w:r>
      <w:r w:rsidRPr="00FF004E">
        <w:rPr>
          <w:rFonts w:ascii="Verdana" w:hAnsi="Verdana" w:cs="Verdana"/>
        </w:rPr>
        <w:t>The WMBA &amp; LEBA concur with CESR that the scope of Annex 11.1 (1) is set by the opening sentence and that the second sentence and the list that follows are by way of clarification.</w:t>
      </w:r>
    </w:p>
    <w:p w:rsidR="002279D3" w:rsidRPr="00FF004E" w:rsidRDefault="002279D3" w:rsidP="00FF004E">
      <w:pPr>
        <w:ind w:left="0"/>
        <w:rPr>
          <w:rFonts w:ascii="Verdana" w:hAnsi="Verdana" w:cs="Verdana"/>
          <w:b/>
          <w:bCs/>
        </w:rPr>
      </w:pPr>
      <w:r w:rsidRPr="00FF004E">
        <w:rPr>
          <w:rFonts w:ascii="Verdana" w:hAnsi="Verdana" w:cs="Verdana"/>
          <w:b/>
          <w:bCs/>
        </w:rPr>
        <w:t>Q2.  Do you think there is a case for narrowing the range of entities covered by points (c), (h) and (i) of Annex 11.1(1)? Please give reasons for your response.</w:t>
      </w:r>
    </w:p>
    <w:p w:rsidR="002279D3" w:rsidRPr="00FF004E" w:rsidRDefault="002279D3" w:rsidP="00FF004E">
      <w:pPr>
        <w:pStyle w:val="Body"/>
        <w:spacing w:line="240" w:lineRule="auto"/>
        <w:rPr>
          <w:rFonts w:ascii="Verdana" w:hAnsi="Verdana" w:cs="Verdana"/>
        </w:rPr>
      </w:pPr>
      <w:r w:rsidRPr="00FF004E">
        <w:rPr>
          <w:rFonts w:ascii="Verdana" w:hAnsi="Verdana" w:cs="Verdana"/>
        </w:rPr>
        <w:t>The WMBA &amp; LEBA do not believe there is a case for narrowing the range of entities covered by points (c), (h), and (i) of Annex 11.1 (1) of MiFID.</w:t>
      </w:r>
    </w:p>
    <w:p w:rsidR="002279D3" w:rsidRPr="00FF004E" w:rsidRDefault="002279D3" w:rsidP="00FF004E">
      <w:pPr>
        <w:pStyle w:val="Body"/>
        <w:spacing w:line="240" w:lineRule="auto"/>
        <w:rPr>
          <w:rFonts w:ascii="Verdana" w:hAnsi="Verdana" w:cs="Verdana"/>
        </w:rPr>
      </w:pPr>
      <w:r w:rsidRPr="00FF004E">
        <w:rPr>
          <w:rFonts w:ascii="Verdana" w:hAnsi="Verdana" w:cs="Verdana"/>
        </w:rPr>
        <w:t xml:space="preserve">As state in the response to question 1 the underlying criteria for this classification is </w:t>
      </w:r>
      <w:r w:rsidRPr="00FF004E">
        <w:rPr>
          <w:rFonts w:ascii="Verdana" w:hAnsi="Verdana" w:cs="Verdana"/>
          <w:b/>
          <w:bCs/>
        </w:rPr>
        <w:t xml:space="preserve">“Entities which are required to be authorized or regulated to operate financial markets”.  </w:t>
      </w:r>
      <w:r w:rsidRPr="00FF004E">
        <w:rPr>
          <w:rFonts w:ascii="Verdana" w:hAnsi="Verdana" w:cs="Verdana"/>
        </w:rPr>
        <w:t>Thus when a person is acting, by way of business, within the scope of their authorisation the WMBA &amp; LEBA believe that their competency within the market and that of its employees has already been established and that they have the necessary knowledge and expertise to make their own investment decisions or failing that seek outside advice. Notwithstanding this, authorised or regulated firms considered to be professional clients who do not feel competent can seek the higher level of protection afforded to retail clients and this is notified to the client at the beginning of a client relationship. However it should be noted that in the wholesale markets in which the WMBA &amp; LEBA operate this may restrict the venues and instruments available to the client.</w:t>
      </w:r>
    </w:p>
    <w:p w:rsidR="002279D3" w:rsidRPr="00FF004E" w:rsidRDefault="002279D3" w:rsidP="00FF004E">
      <w:pPr>
        <w:pStyle w:val="Body"/>
        <w:spacing w:line="240" w:lineRule="auto"/>
        <w:rPr>
          <w:rFonts w:ascii="Verdana" w:hAnsi="Verdana" w:cs="Verdana"/>
        </w:rPr>
      </w:pPr>
      <w:r w:rsidRPr="00FF004E">
        <w:rPr>
          <w:rFonts w:ascii="Verdana" w:hAnsi="Verdana" w:cs="Verdana"/>
        </w:rPr>
        <w:t>In the WMBA &amp; LEBA experience the criteria set out in Annex11.1 (1) has not led to any serious cases of mis-selling nor large scale fraudulent activity when dealing with clients in the wholesale markets.</w:t>
      </w:r>
    </w:p>
    <w:p w:rsidR="002279D3" w:rsidRPr="00FF004E" w:rsidRDefault="002279D3" w:rsidP="00FF004E">
      <w:pPr>
        <w:pStyle w:val="Body"/>
        <w:spacing w:line="240" w:lineRule="auto"/>
        <w:rPr>
          <w:rFonts w:ascii="Verdana" w:hAnsi="Verdana" w:cs="Verdana"/>
        </w:rPr>
      </w:pPr>
      <w:r w:rsidRPr="00FF004E">
        <w:rPr>
          <w:rFonts w:ascii="Verdana" w:hAnsi="Verdana" w:cs="Verdana"/>
        </w:rPr>
        <w:t>Extra protection is already afforded, regardless of client classification, in MiFID 19.4 in respect of the suitability of advice when dealing with complex or unfamiliar instruments.</w:t>
      </w:r>
    </w:p>
    <w:p w:rsidR="002279D3" w:rsidRPr="00FF004E" w:rsidRDefault="002279D3" w:rsidP="00FF004E">
      <w:pPr>
        <w:ind w:left="0"/>
        <w:rPr>
          <w:rFonts w:ascii="Verdana" w:hAnsi="Verdana" w:cs="Verdana"/>
          <w:b/>
          <w:bCs/>
        </w:rPr>
      </w:pPr>
      <w:r w:rsidRPr="00FF004E">
        <w:rPr>
          <w:rFonts w:ascii="Verdana" w:hAnsi="Verdana" w:cs="Verdana"/>
          <w:b/>
          <w:bCs/>
        </w:rPr>
        <w:t>Q5.  Do you think that Annex II.I (3) should be clarified to make clear that public bodies that manage public debt do not include local authorities?</w:t>
      </w:r>
      <w:r>
        <w:rPr>
          <w:rFonts w:ascii="Verdana" w:hAnsi="Verdana" w:cs="Verdana"/>
          <w:b/>
          <w:bCs/>
        </w:rPr>
        <w:t xml:space="preserve"> </w:t>
      </w:r>
    </w:p>
    <w:p w:rsidR="002279D3" w:rsidRPr="00FF004E" w:rsidRDefault="002279D3" w:rsidP="00FF004E">
      <w:pPr>
        <w:pStyle w:val="Body"/>
        <w:spacing w:line="240" w:lineRule="auto"/>
        <w:rPr>
          <w:rFonts w:ascii="Verdana" w:hAnsi="Verdana" w:cs="Verdana"/>
        </w:rPr>
      </w:pPr>
      <w:r w:rsidRPr="00FF004E">
        <w:rPr>
          <w:rFonts w:ascii="Verdana" w:hAnsi="Verdana" w:cs="Verdana"/>
        </w:rPr>
        <w:t xml:space="preserve">WMBA &amp; LEBA members provide a service to the majority of </w:t>
      </w:r>
      <w:smartTag w:uri="urn:schemas-microsoft-com:office:smarttags" w:element="place">
        <w:smartTag w:uri="urn:schemas-microsoft-com:office:smarttags" w:element="country-region">
          <w:r w:rsidRPr="00FF004E">
            <w:rPr>
              <w:rFonts w:ascii="Verdana" w:hAnsi="Verdana" w:cs="Verdana"/>
            </w:rPr>
            <w:t>UK</w:t>
          </w:r>
        </w:smartTag>
      </w:smartTag>
      <w:r w:rsidRPr="00FF004E">
        <w:rPr>
          <w:rFonts w:ascii="Verdana" w:hAnsi="Verdana" w:cs="Verdana"/>
        </w:rPr>
        <w:t xml:space="preserve"> local authorities and strongly disagree with the statement that local authorities do not manage public debt and hence should be excluded from the definition in Annex 11.1(3). The Association believes that as the remit for local authorities varies between member countries no standard definition is possible. In these circumstances it considers that the interpretation should be at the discretion of   the home state regulator.</w:t>
      </w:r>
    </w:p>
    <w:p w:rsidR="002279D3" w:rsidRPr="00FF004E" w:rsidRDefault="002279D3" w:rsidP="00FF004E">
      <w:pPr>
        <w:pStyle w:val="Body"/>
        <w:spacing w:line="240" w:lineRule="auto"/>
        <w:rPr>
          <w:rFonts w:ascii="Verdana" w:hAnsi="Verdana" w:cs="Verdana"/>
        </w:rPr>
      </w:pPr>
      <w:r w:rsidRPr="00FF004E">
        <w:rPr>
          <w:rFonts w:ascii="Verdana" w:hAnsi="Verdana" w:cs="Verdana"/>
        </w:rPr>
        <w:t xml:space="preserve">In the </w:t>
      </w:r>
      <w:smartTag w:uri="urn:schemas-microsoft-com:office:smarttags" w:element="place">
        <w:smartTag w:uri="urn:schemas-microsoft-com:office:smarttags" w:element="country-region">
          <w:r w:rsidRPr="00FF004E">
            <w:rPr>
              <w:rFonts w:ascii="Verdana" w:hAnsi="Verdana" w:cs="Verdana"/>
            </w:rPr>
            <w:t>UK</w:t>
          </w:r>
        </w:smartTag>
      </w:smartTag>
      <w:r w:rsidRPr="00FF004E">
        <w:rPr>
          <w:rFonts w:ascii="Verdana" w:hAnsi="Verdana" w:cs="Verdana"/>
        </w:rPr>
        <w:t xml:space="preserve"> the definition of public debt encompasses both national level debt raised via taxes and local level debt such as council tax.</w:t>
      </w:r>
    </w:p>
    <w:p w:rsidR="002279D3" w:rsidRPr="00FF004E" w:rsidRDefault="002279D3" w:rsidP="00FF004E">
      <w:pPr>
        <w:pStyle w:val="Body"/>
        <w:spacing w:line="240" w:lineRule="auto"/>
        <w:rPr>
          <w:rFonts w:ascii="Verdana" w:hAnsi="Verdana" w:cs="Verdana"/>
        </w:rPr>
      </w:pPr>
      <w:r w:rsidRPr="00FF004E">
        <w:rPr>
          <w:rFonts w:ascii="Verdana" w:hAnsi="Verdana" w:cs="Verdana"/>
        </w:rPr>
        <w:t xml:space="preserve">Local authorities in the </w:t>
      </w:r>
      <w:smartTag w:uri="urn:schemas-microsoft-com:office:smarttags" w:element="place">
        <w:smartTag w:uri="urn:schemas-microsoft-com:office:smarttags" w:element="country-region">
          <w:r w:rsidRPr="00FF004E">
            <w:rPr>
              <w:rFonts w:ascii="Verdana" w:hAnsi="Verdana" w:cs="Verdana"/>
            </w:rPr>
            <w:t>UK</w:t>
          </w:r>
        </w:smartTag>
      </w:smartTag>
      <w:r w:rsidRPr="00FF004E">
        <w:rPr>
          <w:rFonts w:ascii="Verdana" w:hAnsi="Verdana" w:cs="Verdana"/>
        </w:rPr>
        <w:t xml:space="preserve"> draw the main bulk of their funding from local levies and central government funding and are deemed to be managing public debt when entering the wholesale money markets.</w:t>
      </w:r>
    </w:p>
    <w:p w:rsidR="002279D3" w:rsidRPr="00FF004E" w:rsidRDefault="002279D3" w:rsidP="00FF004E">
      <w:pPr>
        <w:autoSpaceDE w:val="0"/>
        <w:autoSpaceDN w:val="0"/>
        <w:adjustRightInd w:val="0"/>
        <w:ind w:left="0" w:right="0"/>
        <w:jc w:val="both"/>
        <w:rPr>
          <w:rFonts w:ascii="Verdana" w:hAnsi="Verdana" w:cs="Verdana"/>
        </w:rPr>
      </w:pPr>
      <w:r w:rsidRPr="00FF004E">
        <w:rPr>
          <w:rFonts w:ascii="Verdana" w:hAnsi="Verdana" w:cs="Verdana"/>
        </w:rPr>
        <w:t xml:space="preserve">The working practices for </w:t>
      </w:r>
      <w:smartTag w:uri="urn:schemas-microsoft-com:office:smarttags" w:element="place">
        <w:smartTag w:uri="urn:schemas-microsoft-com:office:smarttags" w:element="country-region">
          <w:r w:rsidRPr="00FF004E">
            <w:rPr>
              <w:rFonts w:ascii="Verdana" w:hAnsi="Verdana" w:cs="Verdana"/>
            </w:rPr>
            <w:t>UK</w:t>
          </w:r>
        </w:smartTag>
      </w:smartTag>
      <w:r w:rsidRPr="00FF004E">
        <w:rPr>
          <w:rFonts w:ascii="Verdana" w:hAnsi="Verdana" w:cs="Verdana"/>
        </w:rPr>
        <w:t xml:space="preserve"> local authorities are regulated through domestic legislation, associated regulations and professional codes. Local government treasury operations are predominantly restricted to simple financial instruments, such as bank deposits and money market products. Local government agencies are not generally permitted to use more complicated instruments, such as derivatives. The majority of </w:t>
      </w:r>
      <w:smartTag w:uri="urn:schemas-microsoft-com:office:smarttags" w:element="place">
        <w:smartTag w:uri="urn:schemas-microsoft-com:office:smarttags" w:element="country-region">
          <w:r w:rsidRPr="00FF004E">
            <w:rPr>
              <w:rFonts w:ascii="Verdana" w:hAnsi="Verdana" w:cs="Verdana"/>
            </w:rPr>
            <w:t>UK</w:t>
          </w:r>
        </w:smartTag>
      </w:smartTag>
      <w:r w:rsidRPr="00FF004E">
        <w:rPr>
          <w:rFonts w:ascii="Verdana" w:hAnsi="Verdana" w:cs="Verdana"/>
        </w:rPr>
        <w:t xml:space="preserve"> local authorities manage their own debt and investment portfolios, to ensure sustainable public services are maintained. </w:t>
      </w:r>
    </w:p>
    <w:p w:rsidR="002279D3" w:rsidRPr="00FF004E" w:rsidRDefault="002279D3" w:rsidP="00FF004E">
      <w:pPr>
        <w:autoSpaceDE w:val="0"/>
        <w:autoSpaceDN w:val="0"/>
        <w:adjustRightInd w:val="0"/>
        <w:ind w:left="0" w:right="0"/>
        <w:jc w:val="both"/>
        <w:rPr>
          <w:rFonts w:ascii="Verdana" w:hAnsi="Verdana" w:cs="Verdana"/>
        </w:rPr>
      </w:pPr>
    </w:p>
    <w:p w:rsidR="002279D3" w:rsidRPr="00FF004E" w:rsidRDefault="002279D3" w:rsidP="00FF004E">
      <w:pPr>
        <w:autoSpaceDE w:val="0"/>
        <w:autoSpaceDN w:val="0"/>
        <w:adjustRightInd w:val="0"/>
        <w:ind w:left="0" w:right="0"/>
        <w:jc w:val="both"/>
        <w:rPr>
          <w:rFonts w:ascii="Verdana" w:hAnsi="Verdana" w:cs="Verdana"/>
        </w:rPr>
      </w:pPr>
      <w:r w:rsidRPr="00FF004E">
        <w:rPr>
          <w:rFonts w:ascii="Verdana" w:hAnsi="Verdana" w:cs="Verdana"/>
        </w:rPr>
        <w:t xml:space="preserve">Whilst the size of the treasury function may vary between authorities, the treasury operations taking place tend to be relatively homogenous. All local authorities will have investments in some form, with a large percentage of local authorities also managing a debt portfolio. </w:t>
      </w:r>
    </w:p>
    <w:p w:rsidR="002279D3" w:rsidRPr="00FF004E" w:rsidRDefault="002279D3" w:rsidP="00FF004E">
      <w:pPr>
        <w:autoSpaceDE w:val="0"/>
        <w:autoSpaceDN w:val="0"/>
        <w:adjustRightInd w:val="0"/>
        <w:ind w:left="0" w:right="0"/>
        <w:jc w:val="both"/>
        <w:rPr>
          <w:rFonts w:ascii="Verdana" w:hAnsi="Verdana" w:cs="Verdana"/>
        </w:rPr>
      </w:pPr>
    </w:p>
    <w:p w:rsidR="002279D3" w:rsidRPr="00FF004E" w:rsidRDefault="002279D3" w:rsidP="00FF004E">
      <w:pPr>
        <w:autoSpaceDE w:val="0"/>
        <w:autoSpaceDN w:val="0"/>
        <w:adjustRightInd w:val="0"/>
        <w:ind w:left="0" w:right="0"/>
        <w:jc w:val="both"/>
        <w:rPr>
          <w:rFonts w:ascii="Verdana" w:hAnsi="Verdana" w:cs="Verdana"/>
        </w:rPr>
      </w:pPr>
      <w:r w:rsidRPr="00FF004E">
        <w:rPr>
          <w:rFonts w:ascii="Verdana" w:hAnsi="Verdana" w:cs="Verdana"/>
        </w:rPr>
        <w:t xml:space="preserve">The size of debt portfolios managed by local authorities at </w:t>
      </w:r>
      <w:smartTag w:uri="urn:schemas-microsoft-com:office:smarttags" w:element="date">
        <w:smartTagPr>
          <w:attr w:name="Year" w:val="2010"/>
          <w:attr w:name="Day" w:val="31"/>
          <w:attr w:name="Month" w:val="3"/>
        </w:smartTagPr>
        <w:r w:rsidRPr="00FF004E">
          <w:rPr>
            <w:rFonts w:ascii="Verdana" w:hAnsi="Verdana" w:cs="Verdana"/>
          </w:rPr>
          <w:t>31 March 2010</w:t>
        </w:r>
      </w:smartTag>
      <w:r w:rsidRPr="00FF004E">
        <w:rPr>
          <w:rFonts w:ascii="Verdana" w:hAnsi="Verdana" w:cs="Verdana"/>
        </w:rPr>
        <w:t xml:space="preserve"> was £66.8bn (Source – Office for National Statistics)</w:t>
      </w:r>
    </w:p>
    <w:p w:rsidR="002279D3" w:rsidRPr="00FF004E" w:rsidRDefault="002279D3" w:rsidP="00FF004E">
      <w:pPr>
        <w:autoSpaceDE w:val="0"/>
        <w:autoSpaceDN w:val="0"/>
        <w:adjustRightInd w:val="0"/>
        <w:ind w:left="0" w:right="0"/>
        <w:jc w:val="both"/>
        <w:rPr>
          <w:rFonts w:ascii="Verdana" w:hAnsi="Verdana" w:cs="Verdana"/>
        </w:rPr>
      </w:pPr>
    </w:p>
    <w:p w:rsidR="002279D3" w:rsidRPr="00FF004E" w:rsidRDefault="002279D3" w:rsidP="00FF004E">
      <w:pPr>
        <w:autoSpaceDE w:val="0"/>
        <w:autoSpaceDN w:val="0"/>
        <w:adjustRightInd w:val="0"/>
        <w:ind w:left="0" w:right="0"/>
        <w:jc w:val="both"/>
        <w:rPr>
          <w:rFonts w:ascii="Verdana" w:hAnsi="Verdana" w:cs="Verdana"/>
        </w:rPr>
      </w:pPr>
      <w:r w:rsidRPr="00FF004E">
        <w:rPr>
          <w:rFonts w:ascii="Verdana" w:hAnsi="Verdana" w:cs="Verdana"/>
        </w:rPr>
        <w:t>The debt portfolios are managed via the Public Works Loan Board (PWLB–part of the UK Debt Management Office) or direct with large financial institutions.</w:t>
      </w:r>
    </w:p>
    <w:p w:rsidR="002279D3" w:rsidRPr="00FF004E" w:rsidRDefault="002279D3" w:rsidP="00FF004E">
      <w:pPr>
        <w:autoSpaceDE w:val="0"/>
        <w:autoSpaceDN w:val="0"/>
        <w:adjustRightInd w:val="0"/>
        <w:ind w:left="0" w:right="0"/>
        <w:jc w:val="both"/>
        <w:rPr>
          <w:rFonts w:ascii="Verdana" w:hAnsi="Verdana" w:cs="Verdana"/>
        </w:rPr>
      </w:pPr>
    </w:p>
    <w:p w:rsidR="002279D3" w:rsidRPr="00FF004E" w:rsidRDefault="002279D3" w:rsidP="00FF004E">
      <w:pPr>
        <w:autoSpaceDE w:val="0"/>
        <w:autoSpaceDN w:val="0"/>
        <w:adjustRightInd w:val="0"/>
        <w:ind w:left="0" w:right="0"/>
        <w:jc w:val="both"/>
        <w:rPr>
          <w:rFonts w:ascii="Verdana" w:hAnsi="Verdana" w:cs="Verdana"/>
        </w:rPr>
      </w:pPr>
      <w:r w:rsidRPr="00FF004E">
        <w:rPr>
          <w:rFonts w:ascii="Verdana" w:hAnsi="Verdana" w:cs="Verdana"/>
        </w:rPr>
        <w:t>If local authorities experienced a change to their classification in respect of their routine treasury management and this change reduced their status (for example to retail), then access to the London money markets and large financial institutions is likely to be much more limited than at present. This would curtail the local authority’s ability effectively to manage both their debt and investment portfolios One of our members has spoken to a number of fund managers on this issue and their response was that due to the increased protection the retail classification attracts, either the fees would be increased substantially, which would reduce dramatically the return available to them (in the current economic climate the returns could be zero), or products would not be made available.</w:t>
      </w:r>
    </w:p>
    <w:p w:rsidR="002279D3" w:rsidRPr="00FF004E" w:rsidRDefault="002279D3" w:rsidP="00FF004E">
      <w:pPr>
        <w:autoSpaceDE w:val="0"/>
        <w:autoSpaceDN w:val="0"/>
        <w:adjustRightInd w:val="0"/>
        <w:ind w:left="0" w:right="0"/>
        <w:rPr>
          <w:rFonts w:ascii="Verdana" w:hAnsi="Verdana" w:cs="Verdana"/>
        </w:rPr>
      </w:pPr>
    </w:p>
    <w:p w:rsidR="002279D3" w:rsidRPr="00FF004E" w:rsidRDefault="002279D3" w:rsidP="00FF004E">
      <w:pPr>
        <w:ind w:left="0"/>
        <w:rPr>
          <w:rFonts w:ascii="Verdana" w:hAnsi="Verdana" w:cs="Verdana"/>
          <w:b/>
          <w:bCs/>
        </w:rPr>
      </w:pPr>
      <w:r w:rsidRPr="00FF004E">
        <w:rPr>
          <w:rFonts w:ascii="Verdana" w:hAnsi="Verdana" w:cs="Verdana"/>
          <w:b/>
          <w:bCs/>
        </w:rPr>
        <w:t>Q6.  Do you believe it is appropriate that investment firms should be required to assess the knowledge and experience of at least some entities who currently are considered to be per se professionals under MiFID?</w:t>
      </w:r>
    </w:p>
    <w:p w:rsidR="002279D3" w:rsidRPr="00FF004E" w:rsidRDefault="002279D3" w:rsidP="00FF004E">
      <w:pPr>
        <w:ind w:left="0"/>
        <w:jc w:val="both"/>
        <w:rPr>
          <w:rFonts w:ascii="Verdana" w:hAnsi="Verdana" w:cs="Verdana"/>
        </w:rPr>
      </w:pPr>
      <w:r w:rsidRPr="00FF004E">
        <w:rPr>
          <w:rFonts w:ascii="Verdana" w:hAnsi="Verdana" w:cs="Verdana"/>
        </w:rPr>
        <w:t>The WMBA &amp; LEBA are strongly opposed to any knowledge and experience test in respect of client classification which would require investment firms to assess other regulated /authorised entities as competency of the firm and their staff is one of the threshold conditions for authorisation and should be the responsibility of the regulator.</w:t>
      </w:r>
    </w:p>
    <w:p w:rsidR="002279D3" w:rsidRPr="00FF004E" w:rsidRDefault="002279D3" w:rsidP="00FF004E">
      <w:pPr>
        <w:ind w:left="0"/>
        <w:jc w:val="both"/>
        <w:rPr>
          <w:rFonts w:ascii="Verdana" w:hAnsi="Verdana" w:cs="Verdana"/>
        </w:rPr>
      </w:pPr>
    </w:p>
    <w:p w:rsidR="002279D3" w:rsidRPr="00FF004E" w:rsidRDefault="002279D3" w:rsidP="00FF004E">
      <w:pPr>
        <w:ind w:left="0"/>
        <w:jc w:val="both"/>
        <w:rPr>
          <w:rFonts w:ascii="Verdana" w:hAnsi="Verdana" w:cs="Verdana"/>
        </w:rPr>
      </w:pPr>
      <w:r w:rsidRPr="00FF004E">
        <w:rPr>
          <w:rFonts w:ascii="Verdana" w:hAnsi="Verdana" w:cs="Verdana"/>
        </w:rPr>
        <w:t>In respect of other categories of per se professionals included in Annex 11.1(2) please refer to</w:t>
      </w:r>
    </w:p>
    <w:p w:rsidR="002279D3" w:rsidRPr="00FF004E" w:rsidRDefault="002279D3" w:rsidP="00FF004E">
      <w:pPr>
        <w:pStyle w:val="ListParagraph"/>
        <w:numPr>
          <w:ilvl w:val="0"/>
          <w:numId w:val="3"/>
        </w:numPr>
        <w:ind w:left="0" w:firstLine="0"/>
        <w:rPr>
          <w:rFonts w:ascii="Verdana" w:hAnsi="Verdana" w:cs="Verdana"/>
        </w:rPr>
      </w:pPr>
      <w:r w:rsidRPr="00FF004E">
        <w:rPr>
          <w:rFonts w:ascii="Verdana" w:hAnsi="Verdana" w:cs="Verdana"/>
        </w:rPr>
        <w:t>Public Bodies  - Question 5 above</w:t>
      </w:r>
    </w:p>
    <w:p w:rsidR="002279D3" w:rsidRPr="00FF004E" w:rsidRDefault="002279D3" w:rsidP="00FF004E">
      <w:pPr>
        <w:pStyle w:val="ListParagraph"/>
        <w:numPr>
          <w:ilvl w:val="0"/>
          <w:numId w:val="3"/>
        </w:numPr>
        <w:ind w:left="0" w:firstLine="0"/>
        <w:rPr>
          <w:rFonts w:ascii="Verdana" w:hAnsi="Verdana" w:cs="Verdana"/>
        </w:rPr>
      </w:pPr>
      <w:r w:rsidRPr="00FF004E">
        <w:rPr>
          <w:rFonts w:ascii="Verdana" w:hAnsi="Verdana" w:cs="Verdana"/>
        </w:rPr>
        <w:t>Large Undertakings - Question 7 below</w:t>
      </w:r>
    </w:p>
    <w:p w:rsidR="002279D3" w:rsidRPr="00FF004E" w:rsidRDefault="002279D3" w:rsidP="00FF004E">
      <w:pPr>
        <w:ind w:left="0"/>
        <w:rPr>
          <w:rFonts w:ascii="Verdana" w:hAnsi="Verdana" w:cs="Verdana"/>
        </w:rPr>
      </w:pPr>
    </w:p>
    <w:p w:rsidR="002279D3" w:rsidRPr="00FF004E" w:rsidRDefault="002279D3" w:rsidP="00FF004E">
      <w:pPr>
        <w:ind w:left="0"/>
        <w:rPr>
          <w:rFonts w:ascii="Verdana" w:hAnsi="Verdana" w:cs="Verdana"/>
          <w:b/>
          <w:bCs/>
        </w:rPr>
      </w:pPr>
      <w:r w:rsidRPr="00FF004E">
        <w:rPr>
          <w:rFonts w:ascii="Verdana" w:hAnsi="Verdana" w:cs="Verdana"/>
          <w:b/>
          <w:bCs/>
        </w:rPr>
        <w:t xml:space="preserve">Q7.  Should a knowledge and experience test be applied to large undertakings before they can be considered to be per se professionals or to other categories of clients who are currently considered to be professionals?  </w:t>
      </w:r>
    </w:p>
    <w:p w:rsidR="002279D3" w:rsidRPr="00FF004E" w:rsidRDefault="002279D3" w:rsidP="00FF004E">
      <w:pPr>
        <w:ind w:left="0"/>
        <w:jc w:val="both"/>
        <w:rPr>
          <w:rFonts w:ascii="Verdana" w:hAnsi="Verdana" w:cs="Verdana"/>
        </w:rPr>
      </w:pPr>
      <w:r w:rsidRPr="00FF004E">
        <w:rPr>
          <w:rFonts w:ascii="Verdana" w:hAnsi="Verdana" w:cs="Verdana"/>
        </w:rPr>
        <w:t xml:space="preserve">The WMBA &amp; LEBA is strongly opposed to a knowledge and experience test being applied to large unregulated institutions.  The corporate finance functions of these firms are manned by highly experienced individuals who either do not need the protections afforded to retail clients and hence enter into an execution only relationship or have the ability and resources to obtain external risk management advice. </w:t>
      </w:r>
    </w:p>
    <w:p w:rsidR="002279D3" w:rsidRPr="00FF004E" w:rsidRDefault="002279D3" w:rsidP="00FF004E">
      <w:pPr>
        <w:ind w:left="0"/>
        <w:jc w:val="both"/>
        <w:rPr>
          <w:rFonts w:ascii="Verdana" w:hAnsi="Verdana" w:cs="Verdana"/>
        </w:rPr>
      </w:pPr>
    </w:p>
    <w:p w:rsidR="002279D3" w:rsidRPr="00FF004E" w:rsidRDefault="002279D3" w:rsidP="00FF004E">
      <w:pPr>
        <w:ind w:left="0"/>
        <w:jc w:val="both"/>
        <w:rPr>
          <w:rFonts w:ascii="Verdana" w:hAnsi="Verdana" w:cs="Verdana"/>
        </w:rPr>
      </w:pPr>
      <w:r w:rsidRPr="00FF004E">
        <w:rPr>
          <w:rFonts w:ascii="Verdana" w:hAnsi="Verdana" w:cs="Verdana"/>
        </w:rPr>
        <w:t>Notwithstanding any in-house experience large undertaking have the right to seek higher levels of client protection or request advice from the investment firm, in which case the suitable and appropriate provisions of MiFID (see the response to Q2) apply. The statutory responsibilities of a Company Director in the UK to exercise reasonable care, skill and due diligence would put the onus on the director of large corporate clients where the expertise did not exist to obtain the higher level of protection afforded under MiFID by opting down.</w:t>
      </w:r>
    </w:p>
    <w:p w:rsidR="002279D3" w:rsidRPr="00FF004E" w:rsidRDefault="002279D3" w:rsidP="00FF004E">
      <w:pPr>
        <w:ind w:left="0"/>
        <w:rPr>
          <w:rFonts w:ascii="Verdana" w:hAnsi="Verdana" w:cs="Verdana"/>
        </w:rPr>
      </w:pPr>
    </w:p>
    <w:p w:rsidR="002279D3" w:rsidRPr="00FF004E" w:rsidRDefault="002279D3" w:rsidP="00FF004E">
      <w:pPr>
        <w:ind w:left="0"/>
        <w:rPr>
          <w:rFonts w:ascii="Verdana" w:hAnsi="Verdana" w:cs="Verdana"/>
        </w:rPr>
      </w:pPr>
    </w:p>
    <w:p w:rsidR="002279D3" w:rsidRPr="00FF004E" w:rsidRDefault="002279D3" w:rsidP="00FF004E">
      <w:pPr>
        <w:ind w:left="0"/>
        <w:rPr>
          <w:rFonts w:ascii="Verdana" w:hAnsi="Verdana" w:cs="Verdana"/>
          <w:b/>
          <w:bCs/>
        </w:rPr>
      </w:pPr>
      <w:r w:rsidRPr="00FF004E">
        <w:rPr>
          <w:rFonts w:ascii="Verdana" w:hAnsi="Verdana" w:cs="Verdana"/>
          <w:b/>
          <w:bCs/>
        </w:rPr>
        <w:t>Q8.  Do you believe that the client categorisation rules need to be changed in relation to OTC derivatives and other complex derivatives?</w:t>
      </w:r>
    </w:p>
    <w:p w:rsidR="002279D3" w:rsidRPr="00FF004E" w:rsidRDefault="002279D3" w:rsidP="00FF004E">
      <w:pPr>
        <w:ind w:left="0"/>
        <w:jc w:val="both"/>
        <w:rPr>
          <w:rFonts w:ascii="Verdana" w:hAnsi="Verdana" w:cs="Verdana"/>
        </w:rPr>
      </w:pPr>
      <w:r w:rsidRPr="00FF004E">
        <w:rPr>
          <w:rFonts w:ascii="Verdana" w:hAnsi="Verdana" w:cs="Verdana"/>
        </w:rPr>
        <w:t>The WMBA &amp; LEBA do not believe that the client classification rules should be changed based on the type and complexity of the instrument and believes that the current right to seek higher level of protection via the opt down process to be adequate. Hence an additional client classification (“Super ECP”) will be costly to administer and will not provide any additional benefits to the customer</w:t>
      </w:r>
    </w:p>
    <w:p w:rsidR="002279D3" w:rsidRPr="00FF004E" w:rsidRDefault="002279D3" w:rsidP="00FF004E">
      <w:pPr>
        <w:ind w:left="0"/>
        <w:jc w:val="both"/>
        <w:rPr>
          <w:rFonts w:ascii="Verdana" w:hAnsi="Verdana" w:cs="Verdana"/>
        </w:rPr>
      </w:pPr>
    </w:p>
    <w:p w:rsidR="002279D3" w:rsidRPr="00FF004E" w:rsidRDefault="002279D3" w:rsidP="00FF004E">
      <w:pPr>
        <w:ind w:left="0"/>
        <w:jc w:val="both"/>
        <w:rPr>
          <w:rFonts w:ascii="Verdana" w:hAnsi="Verdana" w:cs="Verdana"/>
        </w:rPr>
      </w:pPr>
      <w:r w:rsidRPr="00FF004E">
        <w:rPr>
          <w:rFonts w:ascii="Verdana" w:hAnsi="Verdana" w:cs="Verdana"/>
        </w:rPr>
        <w:t>As discussed in response to question 2 above WMBA &amp; LEBA believe that  regulated or authorised entities ( who are classified as ECP’s) and their staff have the appropriate expertise or have enough experience to know where to obtain  advice  whatever instrument is traded. In these circumstances the WMBA &amp; LEBA does not consider it appropriate to withdraw the ECP status for highly complex products. However should CESR consider it appropriate to treat clients dealing in Highly Complex Derivatives outside the current classification criteria then further clarification is needed on the definition and characteristics of these instruments.</w:t>
      </w:r>
    </w:p>
    <w:p w:rsidR="002279D3" w:rsidRPr="00FF004E" w:rsidRDefault="002279D3" w:rsidP="00FF004E">
      <w:pPr>
        <w:ind w:left="0"/>
        <w:jc w:val="both"/>
        <w:rPr>
          <w:rFonts w:ascii="Verdana" w:hAnsi="Verdana" w:cs="Verdana"/>
        </w:rPr>
      </w:pPr>
    </w:p>
    <w:p w:rsidR="002279D3" w:rsidRPr="00FF004E" w:rsidRDefault="002279D3" w:rsidP="00FF004E">
      <w:pPr>
        <w:ind w:left="0"/>
        <w:jc w:val="both"/>
        <w:rPr>
          <w:rFonts w:ascii="Verdana" w:hAnsi="Verdana" w:cs="Verdana"/>
        </w:rPr>
      </w:pPr>
      <w:r w:rsidRPr="00FF004E">
        <w:rPr>
          <w:rFonts w:ascii="Verdana" w:hAnsi="Verdana" w:cs="Verdana"/>
        </w:rPr>
        <w:t>It should be noted that from an operational perspective, member firms currently provide clients with a single customer classification across all instruments types, based on the highest level of protection requested. Hence, for example, making ECP status unavailable in respect of OTC derivatives and other complex derivatives could result in clients who would currently deal predominantly in vanilla products either being subject to substantially increased fees, which would reduce dramatically the return available to them (in the current economic climate the returns could be zero), or products not being made available.</w:t>
      </w:r>
    </w:p>
    <w:p w:rsidR="002279D3" w:rsidRPr="00FF004E" w:rsidRDefault="002279D3" w:rsidP="00FF004E">
      <w:pPr>
        <w:ind w:left="0"/>
        <w:jc w:val="both"/>
        <w:rPr>
          <w:rFonts w:ascii="Verdana" w:hAnsi="Verdana" w:cs="Verdana"/>
        </w:rPr>
      </w:pPr>
    </w:p>
    <w:p w:rsidR="002279D3" w:rsidRPr="00FF004E" w:rsidRDefault="002279D3" w:rsidP="00FF004E">
      <w:pPr>
        <w:ind w:left="0"/>
        <w:jc w:val="both"/>
        <w:rPr>
          <w:rFonts w:ascii="Verdana" w:hAnsi="Verdana" w:cs="Verdana"/>
          <w:b/>
          <w:bCs/>
          <w:sz w:val="24"/>
          <w:szCs w:val="24"/>
        </w:rPr>
      </w:pPr>
      <w:r w:rsidRPr="00FF004E">
        <w:rPr>
          <w:rFonts w:ascii="Verdana" w:hAnsi="Verdana" w:cs="Verdana"/>
          <w:b/>
          <w:bCs/>
          <w:sz w:val="24"/>
          <w:szCs w:val="24"/>
        </w:rPr>
        <w:t>3. Conclusion</w:t>
      </w:r>
    </w:p>
    <w:p w:rsidR="002279D3" w:rsidRPr="00FF004E" w:rsidRDefault="002279D3" w:rsidP="00FF004E">
      <w:pPr>
        <w:ind w:left="0"/>
        <w:jc w:val="both"/>
        <w:rPr>
          <w:rFonts w:ascii="Verdana" w:hAnsi="Verdana" w:cs="Verdana"/>
          <w:b/>
          <w:bCs/>
          <w:sz w:val="24"/>
          <w:szCs w:val="24"/>
        </w:rPr>
      </w:pPr>
    </w:p>
    <w:p w:rsidR="002279D3" w:rsidRPr="00FF004E" w:rsidRDefault="002279D3" w:rsidP="00FF004E">
      <w:pPr>
        <w:ind w:left="0"/>
        <w:jc w:val="both"/>
        <w:rPr>
          <w:rFonts w:ascii="Verdana" w:hAnsi="Verdana" w:cs="Verdana"/>
        </w:rPr>
      </w:pPr>
      <w:r w:rsidRPr="00FF004E">
        <w:rPr>
          <w:rFonts w:ascii="Verdana" w:hAnsi="Verdana" w:cs="Verdana"/>
        </w:rPr>
        <w:t>Outside the exact scope of this CP but nevertheless relevant is the issue of voluntary downgrading of clients from ECP to Professional. The Association has frequently listened to its members noting that large financial intermediaries are requesting that they be classified as Professional in order to gain the same protections that they themselves would be liable to offer to their clients. Indeed this often occurs outside the equity markets and therefore the scope of MiFID where no such protections in fact exist. The WMBA &amp; LEBA &amp; LEBA feels that this undermines the very existence of the ECP classification and would request the MiFID revisions deal with such issues.</w:t>
      </w:r>
    </w:p>
    <w:p w:rsidR="002279D3" w:rsidRPr="00FF004E" w:rsidRDefault="002279D3" w:rsidP="00FF004E">
      <w:pPr>
        <w:ind w:left="0"/>
        <w:jc w:val="both"/>
        <w:rPr>
          <w:rFonts w:ascii="Verdana" w:hAnsi="Verdana" w:cs="Verdana"/>
        </w:rPr>
      </w:pPr>
    </w:p>
    <w:p w:rsidR="002279D3" w:rsidRPr="00FF004E" w:rsidRDefault="002279D3" w:rsidP="00FF004E">
      <w:pPr>
        <w:ind w:left="0"/>
        <w:jc w:val="both"/>
        <w:rPr>
          <w:rFonts w:ascii="Verdana" w:hAnsi="Verdana" w:cs="Verdana"/>
        </w:rPr>
      </w:pPr>
    </w:p>
    <w:p w:rsidR="002279D3" w:rsidRPr="00FF004E" w:rsidRDefault="002279D3" w:rsidP="00FF004E">
      <w:pPr>
        <w:ind w:left="0"/>
        <w:jc w:val="both"/>
        <w:rPr>
          <w:rFonts w:ascii="Verdana" w:hAnsi="Verdana" w:cs="Verdana"/>
          <w:b/>
          <w:bCs/>
          <w:sz w:val="24"/>
          <w:szCs w:val="24"/>
        </w:rPr>
      </w:pPr>
      <w:r w:rsidRPr="00FF004E">
        <w:rPr>
          <w:rFonts w:ascii="Verdana" w:hAnsi="Verdana" w:cs="Verdana"/>
          <w:b/>
          <w:bCs/>
          <w:sz w:val="24"/>
          <w:szCs w:val="24"/>
        </w:rPr>
        <w:t>If you would like to discuss this submission further please contact;</w:t>
      </w:r>
    </w:p>
    <w:p w:rsidR="002279D3" w:rsidRPr="00FF004E" w:rsidRDefault="002279D3" w:rsidP="00FF004E">
      <w:pPr>
        <w:ind w:left="0"/>
        <w:jc w:val="both"/>
        <w:rPr>
          <w:rFonts w:ascii="Verdana" w:hAnsi="Verdana" w:cs="Verdana"/>
          <w:b/>
          <w:bCs/>
          <w:sz w:val="24"/>
          <w:szCs w:val="24"/>
        </w:rPr>
      </w:pPr>
    </w:p>
    <w:p w:rsidR="002279D3" w:rsidRPr="00FF004E" w:rsidRDefault="002279D3" w:rsidP="00FF004E">
      <w:pPr>
        <w:ind w:left="0"/>
        <w:jc w:val="both"/>
        <w:rPr>
          <w:rFonts w:ascii="Verdana" w:hAnsi="Verdana" w:cs="Verdana"/>
          <w:b/>
          <w:bCs/>
          <w:sz w:val="24"/>
          <w:szCs w:val="24"/>
        </w:rPr>
      </w:pPr>
      <w:r w:rsidRPr="00FF004E">
        <w:rPr>
          <w:rFonts w:ascii="Verdana" w:hAnsi="Verdana" w:cs="Verdana"/>
          <w:b/>
          <w:bCs/>
          <w:sz w:val="24"/>
          <w:szCs w:val="24"/>
        </w:rPr>
        <w:t>David Clarke (Chairman)</w:t>
      </w:r>
      <w:r w:rsidRPr="00FF004E">
        <w:rPr>
          <w:rFonts w:ascii="Verdana" w:hAnsi="Verdana" w:cs="Verdana"/>
          <w:b/>
          <w:bCs/>
          <w:sz w:val="24"/>
          <w:szCs w:val="24"/>
        </w:rPr>
        <w:tab/>
        <w:t>0207</w:t>
      </w:r>
      <w:r>
        <w:rPr>
          <w:rFonts w:ascii="Verdana" w:hAnsi="Verdana" w:cs="Verdana"/>
          <w:b/>
          <w:bCs/>
          <w:sz w:val="24"/>
          <w:szCs w:val="24"/>
        </w:rPr>
        <w:t xml:space="preserve"> </w:t>
      </w:r>
      <w:r w:rsidRPr="00FF004E">
        <w:rPr>
          <w:rFonts w:ascii="Verdana" w:hAnsi="Verdana" w:cs="Verdana"/>
          <w:b/>
          <w:bCs/>
          <w:sz w:val="24"/>
          <w:szCs w:val="24"/>
        </w:rPr>
        <w:t>464 4143</w:t>
      </w:r>
      <w:r w:rsidRPr="00FF004E">
        <w:rPr>
          <w:rFonts w:ascii="Verdana" w:hAnsi="Verdana" w:cs="Verdana"/>
          <w:b/>
          <w:bCs/>
          <w:sz w:val="24"/>
          <w:szCs w:val="24"/>
        </w:rPr>
        <w:tab/>
      </w:r>
    </w:p>
    <w:p w:rsidR="002279D3" w:rsidRPr="00FF004E" w:rsidRDefault="002279D3" w:rsidP="00FF004E">
      <w:pPr>
        <w:ind w:left="0"/>
        <w:jc w:val="both"/>
        <w:rPr>
          <w:rFonts w:ascii="Verdana" w:hAnsi="Verdana" w:cs="Verdana"/>
        </w:rPr>
      </w:pPr>
      <w:hyperlink r:id="rId7" w:history="1">
        <w:r w:rsidRPr="00FF004E">
          <w:rPr>
            <w:rStyle w:val="Hyperlink"/>
            <w:rFonts w:ascii="Verdana" w:hAnsi="Verdana" w:cs="Verdana"/>
            <w:b/>
            <w:bCs/>
            <w:sz w:val="24"/>
            <w:szCs w:val="24"/>
          </w:rPr>
          <w:t>dclark@wmba.org.uk</w:t>
        </w:r>
      </w:hyperlink>
    </w:p>
    <w:p w:rsidR="002279D3" w:rsidRPr="00FF004E" w:rsidRDefault="002279D3" w:rsidP="00FF004E">
      <w:pPr>
        <w:ind w:left="0"/>
        <w:jc w:val="both"/>
        <w:rPr>
          <w:rFonts w:ascii="Verdana" w:hAnsi="Verdana" w:cs="Verdana"/>
          <w:b/>
          <w:bCs/>
          <w:sz w:val="24"/>
          <w:szCs w:val="24"/>
        </w:rPr>
      </w:pPr>
    </w:p>
    <w:p w:rsidR="002279D3" w:rsidRPr="00FF004E" w:rsidRDefault="002279D3" w:rsidP="00FF004E">
      <w:pPr>
        <w:ind w:left="0"/>
        <w:jc w:val="both"/>
        <w:rPr>
          <w:rFonts w:ascii="Verdana" w:hAnsi="Verdana" w:cs="Verdana"/>
          <w:b/>
          <w:bCs/>
          <w:sz w:val="24"/>
          <w:szCs w:val="24"/>
        </w:rPr>
      </w:pPr>
      <w:r w:rsidRPr="00FF004E">
        <w:rPr>
          <w:rFonts w:ascii="Verdana" w:hAnsi="Verdana" w:cs="Verdana"/>
          <w:b/>
          <w:bCs/>
          <w:sz w:val="24"/>
          <w:szCs w:val="24"/>
        </w:rPr>
        <w:t>Alex McDonald (CEO)</w:t>
      </w:r>
      <w:r>
        <w:rPr>
          <w:rFonts w:ascii="Verdana" w:hAnsi="Verdana" w:cs="Verdana"/>
          <w:b/>
          <w:bCs/>
          <w:sz w:val="24"/>
          <w:szCs w:val="24"/>
        </w:rPr>
        <w:tab/>
      </w:r>
      <w:r w:rsidRPr="00FF004E">
        <w:rPr>
          <w:rFonts w:ascii="Verdana" w:hAnsi="Verdana" w:cs="Verdana"/>
          <w:b/>
          <w:bCs/>
          <w:sz w:val="24"/>
          <w:szCs w:val="24"/>
        </w:rPr>
        <w:tab/>
        <w:t>020 7464 4144</w:t>
      </w:r>
      <w:r w:rsidRPr="00FF004E">
        <w:rPr>
          <w:rFonts w:ascii="Verdana" w:hAnsi="Verdana" w:cs="Verdana"/>
          <w:b/>
          <w:bCs/>
          <w:sz w:val="24"/>
          <w:szCs w:val="24"/>
        </w:rPr>
        <w:tab/>
      </w:r>
    </w:p>
    <w:p w:rsidR="002279D3" w:rsidRPr="00FF004E" w:rsidRDefault="002279D3" w:rsidP="00FF004E">
      <w:pPr>
        <w:ind w:left="0"/>
        <w:jc w:val="both"/>
        <w:rPr>
          <w:rFonts w:ascii="Verdana" w:hAnsi="Verdana" w:cs="Verdana"/>
          <w:b/>
          <w:bCs/>
          <w:sz w:val="24"/>
          <w:szCs w:val="24"/>
        </w:rPr>
      </w:pPr>
      <w:hyperlink r:id="rId8" w:history="1">
        <w:r w:rsidRPr="00FF004E">
          <w:rPr>
            <w:rStyle w:val="Hyperlink"/>
            <w:rFonts w:ascii="Verdana" w:hAnsi="Verdana" w:cs="Verdana"/>
            <w:b/>
            <w:bCs/>
            <w:sz w:val="24"/>
            <w:szCs w:val="24"/>
          </w:rPr>
          <w:t>amcdonald@wmba.org.uk</w:t>
        </w:r>
      </w:hyperlink>
    </w:p>
    <w:p w:rsidR="002279D3" w:rsidRPr="00FF004E" w:rsidRDefault="002279D3" w:rsidP="00FF004E">
      <w:pPr>
        <w:ind w:left="0"/>
        <w:jc w:val="both"/>
        <w:rPr>
          <w:rFonts w:ascii="Verdana" w:hAnsi="Verdana" w:cs="Verdana"/>
          <w:b/>
          <w:bCs/>
          <w:sz w:val="24"/>
          <w:szCs w:val="24"/>
        </w:rPr>
      </w:pPr>
    </w:p>
    <w:p w:rsidR="002279D3" w:rsidRPr="00FF004E" w:rsidRDefault="002279D3" w:rsidP="00FF004E">
      <w:pPr>
        <w:ind w:left="0"/>
        <w:jc w:val="both"/>
        <w:rPr>
          <w:rFonts w:ascii="Verdana" w:hAnsi="Verdana" w:cs="Verdana"/>
          <w:b/>
          <w:bCs/>
          <w:sz w:val="24"/>
          <w:szCs w:val="24"/>
        </w:rPr>
      </w:pPr>
    </w:p>
    <w:p w:rsidR="002279D3" w:rsidRPr="007847D9" w:rsidRDefault="002279D3" w:rsidP="00FF004E">
      <w:pPr>
        <w:ind w:left="0"/>
        <w:jc w:val="both"/>
        <w:rPr>
          <w:rFonts w:ascii="Verdana" w:hAnsi="Verdana" w:cs="Verdana"/>
          <w:b/>
          <w:bCs/>
          <w:sz w:val="22"/>
          <w:szCs w:val="22"/>
        </w:rPr>
      </w:pPr>
      <w:r w:rsidRPr="007847D9">
        <w:rPr>
          <w:rFonts w:ascii="Verdana" w:hAnsi="Verdana" w:cs="Verdana"/>
          <w:b/>
          <w:bCs/>
          <w:sz w:val="22"/>
          <w:szCs w:val="22"/>
        </w:rPr>
        <w:t>Postal address:</w:t>
      </w:r>
    </w:p>
    <w:p w:rsidR="002279D3" w:rsidRPr="007847D9" w:rsidRDefault="002279D3" w:rsidP="00FF004E">
      <w:pPr>
        <w:ind w:left="0"/>
        <w:jc w:val="both"/>
        <w:rPr>
          <w:rFonts w:ascii="Verdana" w:hAnsi="Verdana" w:cs="Verdana"/>
          <w:sz w:val="22"/>
          <w:szCs w:val="22"/>
        </w:rPr>
      </w:pPr>
      <w:r w:rsidRPr="007847D9">
        <w:rPr>
          <w:rFonts w:ascii="Verdana" w:hAnsi="Verdana" w:cs="Verdana"/>
          <w:sz w:val="22"/>
          <w:szCs w:val="22"/>
        </w:rPr>
        <w:t>WMBA/LEBA</w:t>
      </w:r>
    </w:p>
    <w:p w:rsidR="002279D3" w:rsidRPr="007847D9" w:rsidRDefault="002279D3" w:rsidP="00FF004E">
      <w:pPr>
        <w:ind w:left="0"/>
        <w:jc w:val="both"/>
        <w:rPr>
          <w:rFonts w:ascii="Verdana" w:hAnsi="Verdana" w:cs="Verdana"/>
          <w:sz w:val="22"/>
          <w:szCs w:val="22"/>
        </w:rPr>
      </w:pPr>
      <w:r w:rsidRPr="007847D9">
        <w:rPr>
          <w:rFonts w:ascii="Verdana" w:hAnsi="Verdana" w:cs="Verdana"/>
          <w:sz w:val="22"/>
          <w:szCs w:val="22"/>
        </w:rPr>
        <w:t>One Royal Exchange Avenue</w:t>
      </w:r>
    </w:p>
    <w:p w:rsidR="002279D3" w:rsidRPr="007847D9" w:rsidRDefault="002279D3" w:rsidP="00FF004E">
      <w:pPr>
        <w:ind w:left="0"/>
        <w:jc w:val="both"/>
        <w:rPr>
          <w:rFonts w:ascii="Verdana" w:hAnsi="Verdana" w:cs="Verdana"/>
          <w:sz w:val="22"/>
          <w:szCs w:val="22"/>
        </w:rPr>
      </w:pPr>
      <w:r w:rsidRPr="007847D9">
        <w:rPr>
          <w:rFonts w:ascii="Verdana" w:hAnsi="Verdana" w:cs="Verdana"/>
          <w:sz w:val="22"/>
          <w:szCs w:val="22"/>
        </w:rPr>
        <w:t>London</w:t>
      </w:r>
    </w:p>
    <w:p w:rsidR="002279D3" w:rsidRPr="007847D9" w:rsidRDefault="002279D3" w:rsidP="00FF004E">
      <w:pPr>
        <w:ind w:left="0"/>
        <w:jc w:val="both"/>
        <w:rPr>
          <w:rFonts w:ascii="Verdana" w:hAnsi="Verdana" w:cs="Verdana"/>
          <w:sz w:val="22"/>
          <w:szCs w:val="22"/>
        </w:rPr>
      </w:pPr>
      <w:r w:rsidRPr="007847D9">
        <w:rPr>
          <w:rFonts w:ascii="Verdana" w:hAnsi="Verdana" w:cs="Verdana"/>
          <w:sz w:val="22"/>
          <w:szCs w:val="22"/>
        </w:rPr>
        <w:t>EC3V 3LT</w:t>
      </w:r>
    </w:p>
    <w:p w:rsidR="002279D3" w:rsidRPr="007847D9" w:rsidRDefault="002279D3" w:rsidP="00FF004E">
      <w:pPr>
        <w:ind w:left="0"/>
        <w:jc w:val="both"/>
        <w:rPr>
          <w:rFonts w:ascii="Verdana" w:hAnsi="Verdana" w:cs="Verdana"/>
          <w:sz w:val="22"/>
          <w:szCs w:val="22"/>
        </w:rPr>
      </w:pPr>
    </w:p>
    <w:p w:rsidR="002279D3" w:rsidRPr="00FF004E" w:rsidRDefault="002279D3" w:rsidP="00FF004E">
      <w:pPr>
        <w:ind w:left="0"/>
        <w:jc w:val="both"/>
        <w:rPr>
          <w:rFonts w:ascii="Verdana" w:hAnsi="Verdana" w:cs="Verdana"/>
          <w:b/>
          <w:bCs/>
          <w:sz w:val="24"/>
          <w:szCs w:val="24"/>
        </w:rPr>
      </w:pPr>
      <w:r w:rsidRPr="00FF004E">
        <w:rPr>
          <w:rFonts w:ascii="Verdana" w:hAnsi="Verdana" w:cs="Verdana"/>
          <w:b/>
          <w:bCs/>
          <w:sz w:val="24"/>
          <w:szCs w:val="24"/>
        </w:rPr>
        <w:t xml:space="preserve">     </w:t>
      </w:r>
      <w:r w:rsidRPr="00FF004E">
        <w:rPr>
          <w:rFonts w:ascii="Verdana" w:hAnsi="Verdana" w:cs="Verdana"/>
          <w:b/>
          <w:bCs/>
          <w:sz w:val="24"/>
          <w:szCs w:val="24"/>
        </w:rPr>
        <w:tab/>
      </w:r>
      <w:r w:rsidRPr="00FF004E">
        <w:rPr>
          <w:rFonts w:ascii="Verdana" w:hAnsi="Verdana" w:cs="Verdana"/>
          <w:b/>
          <w:bCs/>
          <w:sz w:val="24"/>
          <w:szCs w:val="24"/>
        </w:rPr>
        <w:tab/>
      </w:r>
    </w:p>
    <w:p w:rsidR="002279D3" w:rsidRPr="00FF004E" w:rsidRDefault="002279D3" w:rsidP="00FF004E">
      <w:pPr>
        <w:ind w:left="0"/>
        <w:jc w:val="both"/>
        <w:rPr>
          <w:rFonts w:ascii="Verdana" w:hAnsi="Verdana" w:cs="Verdana"/>
          <w:b/>
          <w:bCs/>
          <w:sz w:val="24"/>
          <w:szCs w:val="24"/>
        </w:rPr>
      </w:pPr>
    </w:p>
    <w:p w:rsidR="002279D3" w:rsidRPr="00FF004E" w:rsidRDefault="002279D3" w:rsidP="00FF004E">
      <w:pPr>
        <w:ind w:left="0"/>
        <w:jc w:val="both"/>
        <w:rPr>
          <w:rFonts w:ascii="Verdana" w:hAnsi="Verdana" w:cs="Verdana"/>
        </w:rPr>
      </w:pPr>
    </w:p>
    <w:p w:rsidR="002279D3" w:rsidRPr="00FF004E" w:rsidRDefault="002279D3" w:rsidP="00FF004E">
      <w:pPr>
        <w:ind w:left="0"/>
        <w:jc w:val="both"/>
        <w:rPr>
          <w:rFonts w:ascii="Verdana" w:hAnsi="Verdana" w:cs="Verdana"/>
        </w:rPr>
      </w:pPr>
    </w:p>
    <w:p w:rsidR="002279D3" w:rsidRPr="00FF004E" w:rsidRDefault="002279D3" w:rsidP="00FF004E">
      <w:pPr>
        <w:ind w:left="0"/>
        <w:jc w:val="both"/>
        <w:rPr>
          <w:rFonts w:ascii="Verdana" w:hAnsi="Verdana" w:cs="Verdana"/>
        </w:rPr>
      </w:pPr>
    </w:p>
    <w:p w:rsidR="002279D3" w:rsidRPr="00FF004E" w:rsidRDefault="002279D3" w:rsidP="00FF004E">
      <w:pPr>
        <w:ind w:left="0"/>
        <w:jc w:val="both"/>
        <w:rPr>
          <w:rFonts w:ascii="Verdana" w:hAnsi="Verdana" w:cs="Verdana"/>
        </w:rPr>
      </w:pPr>
    </w:p>
    <w:p w:rsidR="002279D3" w:rsidRPr="00FF004E" w:rsidRDefault="002279D3" w:rsidP="00FF004E">
      <w:pPr>
        <w:ind w:left="0"/>
        <w:jc w:val="both"/>
        <w:rPr>
          <w:rFonts w:ascii="Verdana" w:hAnsi="Verdana" w:cs="Verdana"/>
        </w:rPr>
      </w:pPr>
    </w:p>
    <w:p w:rsidR="002279D3" w:rsidRPr="00FF004E" w:rsidRDefault="002279D3" w:rsidP="00FF004E">
      <w:pPr>
        <w:autoSpaceDE w:val="0"/>
        <w:autoSpaceDN w:val="0"/>
        <w:adjustRightInd w:val="0"/>
        <w:ind w:left="0" w:right="0"/>
        <w:rPr>
          <w:rFonts w:ascii="Verdana" w:hAnsi="Verdana" w:cs="Verdana"/>
        </w:rPr>
      </w:pPr>
    </w:p>
    <w:p w:rsidR="002279D3" w:rsidRPr="00FF004E" w:rsidRDefault="002279D3" w:rsidP="00FF004E">
      <w:pPr>
        <w:pStyle w:val="Body"/>
        <w:spacing w:line="240" w:lineRule="auto"/>
        <w:rPr>
          <w:rFonts w:ascii="Verdana" w:hAnsi="Verdana" w:cs="Verdana"/>
          <w:b/>
          <w:bCs/>
        </w:rPr>
      </w:pPr>
    </w:p>
    <w:p w:rsidR="002279D3" w:rsidRPr="00FF004E" w:rsidRDefault="002279D3" w:rsidP="00FF004E">
      <w:pPr>
        <w:pStyle w:val="Body"/>
        <w:spacing w:line="240" w:lineRule="auto"/>
        <w:rPr>
          <w:rFonts w:ascii="Verdana" w:hAnsi="Verdana" w:cs="Verdana"/>
        </w:rPr>
      </w:pPr>
    </w:p>
    <w:p w:rsidR="002279D3" w:rsidRPr="00FF004E" w:rsidRDefault="002279D3" w:rsidP="00FF004E">
      <w:pPr>
        <w:pStyle w:val="Body"/>
        <w:spacing w:line="240" w:lineRule="auto"/>
        <w:rPr>
          <w:rFonts w:ascii="Verdana" w:hAnsi="Verdana" w:cs="Verdana"/>
        </w:rPr>
      </w:pPr>
    </w:p>
    <w:p w:rsidR="002279D3" w:rsidRPr="00FF004E" w:rsidRDefault="002279D3" w:rsidP="00FF004E">
      <w:pPr>
        <w:pStyle w:val="Body"/>
        <w:spacing w:line="240" w:lineRule="auto"/>
        <w:rPr>
          <w:rFonts w:ascii="Verdana" w:hAnsi="Verdana" w:cs="Verdana"/>
        </w:rPr>
      </w:pPr>
    </w:p>
    <w:p w:rsidR="002279D3" w:rsidRPr="00FF004E" w:rsidRDefault="002279D3" w:rsidP="00FF004E">
      <w:pPr>
        <w:pStyle w:val="Body"/>
        <w:spacing w:line="240" w:lineRule="auto"/>
        <w:rPr>
          <w:rFonts w:ascii="Verdana" w:hAnsi="Verdana" w:cs="Verdana"/>
        </w:rPr>
      </w:pPr>
    </w:p>
    <w:p w:rsidR="002279D3" w:rsidRPr="00FF004E" w:rsidRDefault="002279D3" w:rsidP="00FF004E">
      <w:pPr>
        <w:pStyle w:val="Body"/>
        <w:spacing w:line="240" w:lineRule="auto"/>
        <w:rPr>
          <w:rFonts w:ascii="Verdana" w:hAnsi="Verdana" w:cs="Verdana"/>
        </w:rPr>
      </w:pPr>
    </w:p>
    <w:p w:rsidR="002279D3" w:rsidRPr="00FF004E" w:rsidRDefault="002279D3" w:rsidP="00FF004E">
      <w:pPr>
        <w:pStyle w:val="Body"/>
        <w:spacing w:line="240" w:lineRule="auto"/>
        <w:rPr>
          <w:rFonts w:ascii="Verdana" w:hAnsi="Verdana" w:cs="Verdana"/>
        </w:rPr>
      </w:pPr>
    </w:p>
    <w:p w:rsidR="002279D3" w:rsidRPr="00FF004E" w:rsidRDefault="002279D3" w:rsidP="00FF004E">
      <w:pPr>
        <w:ind w:left="0"/>
        <w:rPr>
          <w:rFonts w:ascii="Verdana" w:hAnsi="Verdana" w:cs="Verdana"/>
        </w:rPr>
      </w:pPr>
    </w:p>
    <w:sectPr w:rsidR="002279D3" w:rsidRPr="00FF004E" w:rsidSect="001C1B35">
      <w:headerReference w:type="default" r:id="rId9"/>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9D3" w:rsidRDefault="002279D3" w:rsidP="00E94B12">
      <w:r>
        <w:separator/>
      </w:r>
    </w:p>
  </w:endnote>
  <w:endnote w:type="continuationSeparator" w:id="0">
    <w:p w:rsidR="002279D3" w:rsidRDefault="002279D3" w:rsidP="00E94B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9D3" w:rsidRDefault="002279D3" w:rsidP="00E94B12">
      <w:r>
        <w:separator/>
      </w:r>
    </w:p>
  </w:footnote>
  <w:footnote w:type="continuationSeparator" w:id="0">
    <w:p w:rsidR="002279D3" w:rsidRDefault="002279D3" w:rsidP="00E94B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621"/>
      <w:gridCol w:w="4621"/>
    </w:tblGrid>
    <w:tr w:rsidR="002279D3">
      <w:tc>
        <w:tcPr>
          <w:tcW w:w="4621" w:type="dxa"/>
        </w:tcPr>
        <w:p w:rsidR="002279D3" w:rsidRPr="00B36F9E" w:rsidRDefault="002279D3" w:rsidP="000612D6">
          <w:pPr>
            <w:pStyle w:val="Header"/>
            <w:ind w:left="0"/>
            <w:rPr>
              <w:rFonts w:ascii="Cambria" w:hAnsi="Cambria" w:cs="Cambria"/>
              <w:sz w:val="32"/>
              <w:szCs w:val="32"/>
            </w:rPr>
          </w:pPr>
          <w:r w:rsidRPr="00041194">
            <w:rPr>
              <w:rFonts w:ascii="Cambria" w:hAnsi="Cambria" w:cs="Cambria"/>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9.5pt;height:56.25pt">
                <v:imagedata r:id="rId1" o:title=""/>
              </v:shape>
            </w:pict>
          </w:r>
        </w:p>
      </w:tc>
      <w:tc>
        <w:tcPr>
          <w:tcW w:w="4621" w:type="dxa"/>
        </w:tcPr>
        <w:p w:rsidR="002279D3" w:rsidRPr="000612D6" w:rsidRDefault="002279D3" w:rsidP="00B36F9E">
          <w:pPr>
            <w:pStyle w:val="Header"/>
            <w:ind w:left="0"/>
            <w:jc w:val="right"/>
            <w:rPr>
              <w:rFonts w:ascii="Cambria" w:hAnsi="Cambria" w:cs="Cambria"/>
              <w:sz w:val="32"/>
              <w:szCs w:val="32"/>
            </w:rPr>
          </w:pPr>
          <w:r w:rsidRPr="00041194">
            <w:rPr>
              <w:rFonts w:ascii="Verdana" w:hAnsi="Verdana" w:cs="Verdana"/>
              <w:sz w:val="22"/>
              <w:szCs w:val="22"/>
            </w:rPr>
            <w:pict>
              <v:shape id="_x0000_i1028" type="#_x0000_t75" style="width:189pt;height:50.25pt">
                <v:imagedata r:id="rId2" o:title=""/>
              </v:shape>
            </w:pict>
          </w:r>
        </w:p>
      </w:tc>
    </w:tr>
  </w:tbl>
  <w:p w:rsidR="002279D3" w:rsidRDefault="002279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3008"/>
    <w:multiLevelType w:val="hybridMultilevel"/>
    <w:tmpl w:val="A1048BF4"/>
    <w:lvl w:ilvl="0" w:tplc="08090001">
      <w:start w:val="1"/>
      <w:numFmt w:val="bullet"/>
      <w:lvlText w:val=""/>
      <w:lvlJc w:val="left"/>
      <w:pPr>
        <w:ind w:left="855" w:hanging="360"/>
      </w:pPr>
      <w:rPr>
        <w:rFonts w:ascii="Symbol" w:hAnsi="Symbol" w:cs="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cs="Wingdings" w:hint="default"/>
      </w:rPr>
    </w:lvl>
    <w:lvl w:ilvl="3" w:tplc="08090001" w:tentative="1">
      <w:start w:val="1"/>
      <w:numFmt w:val="bullet"/>
      <w:lvlText w:val=""/>
      <w:lvlJc w:val="left"/>
      <w:pPr>
        <w:ind w:left="3015" w:hanging="360"/>
      </w:pPr>
      <w:rPr>
        <w:rFonts w:ascii="Symbol" w:hAnsi="Symbol" w:cs="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cs="Wingdings" w:hint="default"/>
      </w:rPr>
    </w:lvl>
    <w:lvl w:ilvl="6" w:tplc="08090001" w:tentative="1">
      <w:start w:val="1"/>
      <w:numFmt w:val="bullet"/>
      <w:lvlText w:val=""/>
      <w:lvlJc w:val="left"/>
      <w:pPr>
        <w:ind w:left="5175" w:hanging="360"/>
      </w:pPr>
      <w:rPr>
        <w:rFonts w:ascii="Symbol" w:hAnsi="Symbol" w:cs="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cs="Wingdings" w:hint="default"/>
      </w:rPr>
    </w:lvl>
  </w:abstractNum>
  <w:abstractNum w:abstractNumId="1">
    <w:nsid w:val="3B60239F"/>
    <w:multiLevelType w:val="hybridMultilevel"/>
    <w:tmpl w:val="4BD0F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1E4009D"/>
    <w:multiLevelType w:val="multilevel"/>
    <w:tmpl w:val="B8344BE2"/>
    <w:name w:val="NoteTemplate"/>
    <w:lvl w:ilvl="0">
      <w:start w:val="1"/>
      <w:numFmt w:val="decimal"/>
      <w:pStyle w:val="NoteLevel1"/>
      <w:isLgl/>
      <w:lvlText w:val="%1"/>
      <w:lvlJc w:val="left"/>
      <w:pPr>
        <w:tabs>
          <w:tab w:val="num" w:pos="720"/>
        </w:tabs>
        <w:ind w:left="720" w:hanging="720"/>
      </w:pPr>
      <w:rPr>
        <w:b w:val="0"/>
        <w:bCs w:val="0"/>
        <w:i w:val="0"/>
        <w:iCs w:val="0"/>
        <w:strike w:val="0"/>
        <w:dstrike w:val="0"/>
        <w:u w:val="none"/>
        <w:effect w:val="none"/>
      </w:rPr>
    </w:lvl>
    <w:lvl w:ilvl="1">
      <w:start w:val="1"/>
      <w:numFmt w:val="lowerLetter"/>
      <w:pStyle w:val="NoteLevel2"/>
      <w:lvlText w:val="(%2)"/>
      <w:lvlJc w:val="left"/>
      <w:pPr>
        <w:tabs>
          <w:tab w:val="num" w:pos="1440"/>
        </w:tabs>
        <w:ind w:left="1440" w:hanging="720"/>
      </w:pPr>
      <w:rPr>
        <w:b w:val="0"/>
        <w:bCs w:val="0"/>
      </w:rPr>
    </w:lvl>
    <w:lvl w:ilvl="2">
      <w:start w:val="1"/>
      <w:numFmt w:val="lowerRoman"/>
      <w:pStyle w:val="NoteLevel3"/>
      <w:lvlText w:val="(%3)"/>
      <w:lvlJc w:val="left"/>
      <w:pPr>
        <w:tabs>
          <w:tab w:val="num" w:pos="2160"/>
        </w:tabs>
        <w:ind w:left="2160" w:hanging="720"/>
      </w:pPr>
    </w:lvl>
    <w:lvl w:ilvl="3">
      <w:start w:val="1"/>
      <w:numFmt w:val="upperLetter"/>
      <w:pStyle w:val="NoteLevel4"/>
      <w:lvlText w:val="(%4)"/>
      <w:lvlJc w:val="left"/>
      <w:pPr>
        <w:tabs>
          <w:tab w:val="num" w:pos="2880"/>
        </w:tabs>
        <w:ind w:left="2880" w:hanging="720"/>
      </w:pPr>
    </w:lvl>
    <w:lvl w:ilvl="4">
      <w:start w:val="1"/>
      <w:numFmt w:val="decimal"/>
      <w:pStyle w:val="NoteLevel5"/>
      <w:lvlText w:val="%5)"/>
      <w:lvlJc w:val="left"/>
      <w:pPr>
        <w:tabs>
          <w:tab w:val="num" w:pos="3600"/>
        </w:tabs>
        <w:ind w:left="3600" w:hanging="720"/>
      </w:pPr>
    </w:lvl>
    <w:lvl w:ilvl="5">
      <w:start w:val="1"/>
      <w:numFmt w:val="lowerLetter"/>
      <w:pStyle w:val="NoteLevel6"/>
      <w:lvlText w:val="%6)"/>
      <w:lvlJc w:val="left"/>
      <w:pPr>
        <w:tabs>
          <w:tab w:val="num" w:pos="4320"/>
        </w:tabs>
        <w:ind w:left="4320" w:hanging="720"/>
      </w:pPr>
    </w:lvl>
    <w:lvl w:ilvl="6">
      <w:start w:val="1"/>
      <w:numFmt w:val="lowerRoman"/>
      <w:pStyle w:val="NoteLevel7"/>
      <w:lvlText w:val="%7)"/>
      <w:lvlJc w:val="left"/>
      <w:pPr>
        <w:tabs>
          <w:tab w:val="num" w:pos="5040"/>
        </w:tabs>
        <w:ind w:left="5040" w:hanging="720"/>
      </w:pPr>
    </w:lvl>
    <w:lvl w:ilvl="7">
      <w:start w:val="1"/>
      <w:numFmt w:val="upperLetter"/>
      <w:pStyle w:val="NoteLevel8"/>
      <w:lvlText w:val="%8)"/>
      <w:lvlJc w:val="left"/>
      <w:pPr>
        <w:tabs>
          <w:tab w:val="num" w:pos="5760"/>
        </w:tabs>
        <w:ind w:left="5760" w:hanging="720"/>
      </w:pPr>
    </w:lvl>
    <w:lvl w:ilvl="8">
      <w:start w:val="1"/>
      <w:numFmt w:val="none"/>
      <w:suff w:val="nothing"/>
      <w:lvlText w:val=""/>
      <w:lvlJc w:val="left"/>
      <w:pPr>
        <w:ind w:left="5760" w:hanging="7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7162"/>
    <w:rsid w:val="000012FB"/>
    <w:rsid w:val="00002C9B"/>
    <w:rsid w:val="00021B81"/>
    <w:rsid w:val="00041194"/>
    <w:rsid w:val="000572ED"/>
    <w:rsid w:val="000612D6"/>
    <w:rsid w:val="00065DDC"/>
    <w:rsid w:val="000863E9"/>
    <w:rsid w:val="00154DF5"/>
    <w:rsid w:val="00157846"/>
    <w:rsid w:val="0017021F"/>
    <w:rsid w:val="00185779"/>
    <w:rsid w:val="00187162"/>
    <w:rsid w:val="001A6B31"/>
    <w:rsid w:val="001A71CD"/>
    <w:rsid w:val="001C1B35"/>
    <w:rsid w:val="00201E33"/>
    <w:rsid w:val="002053B7"/>
    <w:rsid w:val="00212DE3"/>
    <w:rsid w:val="002279D3"/>
    <w:rsid w:val="00233B71"/>
    <w:rsid w:val="002468A7"/>
    <w:rsid w:val="00247636"/>
    <w:rsid w:val="0026499B"/>
    <w:rsid w:val="00286D73"/>
    <w:rsid w:val="002A269C"/>
    <w:rsid w:val="002B2392"/>
    <w:rsid w:val="00301B14"/>
    <w:rsid w:val="00314720"/>
    <w:rsid w:val="003237AD"/>
    <w:rsid w:val="00341C9A"/>
    <w:rsid w:val="003655F8"/>
    <w:rsid w:val="003B193B"/>
    <w:rsid w:val="003C7C4B"/>
    <w:rsid w:val="00410223"/>
    <w:rsid w:val="00473D3D"/>
    <w:rsid w:val="004749B7"/>
    <w:rsid w:val="00482C07"/>
    <w:rsid w:val="00490DC3"/>
    <w:rsid w:val="004929CD"/>
    <w:rsid w:val="004F7356"/>
    <w:rsid w:val="00523CB3"/>
    <w:rsid w:val="0052705A"/>
    <w:rsid w:val="005B1A33"/>
    <w:rsid w:val="005B4073"/>
    <w:rsid w:val="005C4E06"/>
    <w:rsid w:val="00637D26"/>
    <w:rsid w:val="00654AFA"/>
    <w:rsid w:val="00675786"/>
    <w:rsid w:val="006F0AFE"/>
    <w:rsid w:val="006F101A"/>
    <w:rsid w:val="0075112A"/>
    <w:rsid w:val="007570EB"/>
    <w:rsid w:val="007847D9"/>
    <w:rsid w:val="00790146"/>
    <w:rsid w:val="007A4B10"/>
    <w:rsid w:val="007F4424"/>
    <w:rsid w:val="008920C9"/>
    <w:rsid w:val="00892EE8"/>
    <w:rsid w:val="008B49E2"/>
    <w:rsid w:val="00924535"/>
    <w:rsid w:val="00924ED4"/>
    <w:rsid w:val="0094208B"/>
    <w:rsid w:val="009601A3"/>
    <w:rsid w:val="00993C83"/>
    <w:rsid w:val="009A2134"/>
    <w:rsid w:val="009C6424"/>
    <w:rsid w:val="009D28CC"/>
    <w:rsid w:val="009D2A19"/>
    <w:rsid w:val="009D7BA2"/>
    <w:rsid w:val="009E4D46"/>
    <w:rsid w:val="00A40357"/>
    <w:rsid w:val="00A54537"/>
    <w:rsid w:val="00AE60BE"/>
    <w:rsid w:val="00B02185"/>
    <w:rsid w:val="00B36F9E"/>
    <w:rsid w:val="00B65E34"/>
    <w:rsid w:val="00B74036"/>
    <w:rsid w:val="00B76414"/>
    <w:rsid w:val="00BD346E"/>
    <w:rsid w:val="00C10747"/>
    <w:rsid w:val="00C26114"/>
    <w:rsid w:val="00C26C1E"/>
    <w:rsid w:val="00C62FE0"/>
    <w:rsid w:val="00C8004A"/>
    <w:rsid w:val="00CF422E"/>
    <w:rsid w:val="00D46CFA"/>
    <w:rsid w:val="00D470AA"/>
    <w:rsid w:val="00D528F9"/>
    <w:rsid w:val="00D7448D"/>
    <w:rsid w:val="00D846F5"/>
    <w:rsid w:val="00DA03CA"/>
    <w:rsid w:val="00DE1257"/>
    <w:rsid w:val="00E843D4"/>
    <w:rsid w:val="00E94B12"/>
    <w:rsid w:val="00E94C86"/>
    <w:rsid w:val="00F1237F"/>
    <w:rsid w:val="00FF004E"/>
    <w:rsid w:val="00FF79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62"/>
    <w:pPr>
      <w:ind w:left="72" w:right="113"/>
    </w:pPr>
    <w:rPr>
      <w:rFonts w:ascii="Tahoma" w:eastAsia="Times New Roman" w:hAnsi="Tahoma" w:cs="Tahoma"/>
      <w:sz w:val="20"/>
      <w:szCs w:val="20"/>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D7448D"/>
    <w:pPr>
      <w:spacing w:after="240" w:line="288" w:lineRule="auto"/>
      <w:ind w:left="0" w:right="0"/>
      <w:jc w:val="both"/>
    </w:pPr>
    <w:rPr>
      <w:rFonts w:ascii="Arial" w:eastAsia="Calibri" w:hAnsi="Arial" w:cs="Arial"/>
      <w:lang w:val="en-US"/>
    </w:rPr>
  </w:style>
  <w:style w:type="paragraph" w:customStyle="1" w:styleId="NoteLevel1">
    <w:name w:val="Note/Level1"/>
    <w:basedOn w:val="Normal"/>
    <w:uiPriority w:val="99"/>
    <w:rsid w:val="00D7448D"/>
    <w:pPr>
      <w:numPr>
        <w:numId w:val="1"/>
      </w:numPr>
      <w:spacing w:after="240" w:line="288" w:lineRule="auto"/>
      <w:ind w:right="0"/>
      <w:jc w:val="both"/>
    </w:pPr>
    <w:rPr>
      <w:rFonts w:ascii="Arial" w:eastAsia="Calibri" w:hAnsi="Arial" w:cs="Arial"/>
      <w:lang w:val="en-US"/>
    </w:rPr>
  </w:style>
  <w:style w:type="paragraph" w:customStyle="1" w:styleId="NoteLevel2">
    <w:name w:val="Note/Level2"/>
    <w:basedOn w:val="Normal"/>
    <w:uiPriority w:val="99"/>
    <w:rsid w:val="00D7448D"/>
    <w:pPr>
      <w:numPr>
        <w:ilvl w:val="1"/>
        <w:numId w:val="1"/>
      </w:numPr>
      <w:spacing w:after="240" w:line="288" w:lineRule="auto"/>
      <w:ind w:right="0"/>
      <w:jc w:val="both"/>
    </w:pPr>
    <w:rPr>
      <w:rFonts w:ascii="Arial" w:eastAsia="Calibri" w:hAnsi="Arial" w:cs="Arial"/>
      <w:lang w:val="en-US"/>
    </w:rPr>
  </w:style>
  <w:style w:type="paragraph" w:customStyle="1" w:styleId="NoteLevel3">
    <w:name w:val="Note/Level3"/>
    <w:basedOn w:val="Normal"/>
    <w:uiPriority w:val="99"/>
    <w:rsid w:val="00D7448D"/>
    <w:pPr>
      <w:numPr>
        <w:ilvl w:val="2"/>
        <w:numId w:val="1"/>
      </w:numPr>
      <w:spacing w:after="240" w:line="288" w:lineRule="auto"/>
      <w:ind w:right="0"/>
      <w:jc w:val="both"/>
    </w:pPr>
    <w:rPr>
      <w:rFonts w:ascii="Arial" w:eastAsia="Calibri" w:hAnsi="Arial" w:cs="Arial"/>
      <w:lang w:val="en-US"/>
    </w:rPr>
  </w:style>
  <w:style w:type="paragraph" w:customStyle="1" w:styleId="NoteLevel4">
    <w:name w:val="Note/Level4"/>
    <w:basedOn w:val="Normal"/>
    <w:uiPriority w:val="99"/>
    <w:rsid w:val="00D7448D"/>
    <w:pPr>
      <w:numPr>
        <w:ilvl w:val="3"/>
        <w:numId w:val="1"/>
      </w:numPr>
      <w:spacing w:after="240" w:line="288" w:lineRule="auto"/>
      <w:ind w:right="0"/>
      <w:jc w:val="both"/>
    </w:pPr>
    <w:rPr>
      <w:rFonts w:ascii="Arial" w:eastAsia="Calibri" w:hAnsi="Arial" w:cs="Arial"/>
      <w:lang w:val="en-US"/>
    </w:rPr>
  </w:style>
  <w:style w:type="paragraph" w:customStyle="1" w:styleId="NoteLevel5">
    <w:name w:val="Note/Level5"/>
    <w:basedOn w:val="Normal"/>
    <w:uiPriority w:val="99"/>
    <w:rsid w:val="00D7448D"/>
    <w:pPr>
      <w:numPr>
        <w:ilvl w:val="4"/>
        <w:numId w:val="1"/>
      </w:numPr>
      <w:spacing w:after="240" w:line="288" w:lineRule="auto"/>
      <w:ind w:right="0"/>
      <w:jc w:val="both"/>
    </w:pPr>
    <w:rPr>
      <w:rFonts w:ascii="Arial" w:eastAsia="Calibri" w:hAnsi="Arial" w:cs="Arial"/>
      <w:lang w:val="en-US"/>
    </w:rPr>
  </w:style>
  <w:style w:type="paragraph" w:customStyle="1" w:styleId="NoteLevel6">
    <w:name w:val="Note/Level6"/>
    <w:basedOn w:val="Normal"/>
    <w:uiPriority w:val="99"/>
    <w:rsid w:val="00D7448D"/>
    <w:pPr>
      <w:numPr>
        <w:ilvl w:val="5"/>
        <w:numId w:val="1"/>
      </w:numPr>
      <w:spacing w:after="240" w:line="288" w:lineRule="auto"/>
      <w:ind w:right="0"/>
      <w:jc w:val="both"/>
    </w:pPr>
    <w:rPr>
      <w:rFonts w:ascii="Arial" w:eastAsia="Calibri" w:hAnsi="Arial" w:cs="Arial"/>
      <w:lang w:val="en-US"/>
    </w:rPr>
  </w:style>
  <w:style w:type="paragraph" w:customStyle="1" w:styleId="NoteLevel7">
    <w:name w:val="Note/Level7"/>
    <w:basedOn w:val="Normal"/>
    <w:uiPriority w:val="99"/>
    <w:rsid w:val="00D7448D"/>
    <w:pPr>
      <w:numPr>
        <w:ilvl w:val="6"/>
        <w:numId w:val="1"/>
      </w:numPr>
      <w:spacing w:after="240" w:line="288" w:lineRule="auto"/>
      <w:ind w:right="0"/>
      <w:jc w:val="both"/>
    </w:pPr>
    <w:rPr>
      <w:rFonts w:ascii="Arial" w:eastAsia="Calibri" w:hAnsi="Arial" w:cs="Arial"/>
      <w:lang w:val="en-US"/>
    </w:rPr>
  </w:style>
  <w:style w:type="paragraph" w:customStyle="1" w:styleId="NoteLevel8">
    <w:name w:val="Note/Level8"/>
    <w:basedOn w:val="Normal"/>
    <w:uiPriority w:val="99"/>
    <w:rsid w:val="00D7448D"/>
    <w:pPr>
      <w:numPr>
        <w:ilvl w:val="7"/>
        <w:numId w:val="1"/>
      </w:numPr>
      <w:spacing w:after="240" w:line="288" w:lineRule="auto"/>
      <w:ind w:right="0"/>
      <w:jc w:val="both"/>
    </w:pPr>
    <w:rPr>
      <w:rFonts w:ascii="Arial" w:eastAsia="Calibri" w:hAnsi="Arial" w:cs="Arial"/>
      <w:lang w:val="en-US"/>
    </w:rPr>
  </w:style>
  <w:style w:type="paragraph" w:styleId="ListParagraph">
    <w:name w:val="List Paragraph"/>
    <w:basedOn w:val="Normal"/>
    <w:uiPriority w:val="99"/>
    <w:qFormat/>
    <w:rsid w:val="00473D3D"/>
    <w:pPr>
      <w:ind w:left="720"/>
      <w:contextualSpacing/>
    </w:pPr>
  </w:style>
  <w:style w:type="character" w:styleId="Hyperlink">
    <w:name w:val="Hyperlink"/>
    <w:basedOn w:val="DefaultParagraphFont"/>
    <w:uiPriority w:val="99"/>
    <w:rsid w:val="00DA03CA"/>
    <w:rPr>
      <w:color w:val="0000FF"/>
      <w:u w:val="single"/>
    </w:rPr>
  </w:style>
  <w:style w:type="paragraph" w:styleId="Header">
    <w:name w:val="header"/>
    <w:basedOn w:val="Normal"/>
    <w:link w:val="HeaderChar"/>
    <w:uiPriority w:val="99"/>
    <w:rsid w:val="00E94B12"/>
    <w:pPr>
      <w:tabs>
        <w:tab w:val="center" w:pos="4513"/>
        <w:tab w:val="right" w:pos="9026"/>
      </w:tabs>
    </w:pPr>
  </w:style>
  <w:style w:type="character" w:customStyle="1" w:styleId="HeaderChar">
    <w:name w:val="Header Char"/>
    <w:basedOn w:val="DefaultParagraphFont"/>
    <w:link w:val="Header"/>
    <w:uiPriority w:val="99"/>
    <w:rsid w:val="00E94B12"/>
    <w:rPr>
      <w:rFonts w:ascii="Tahoma" w:hAnsi="Tahoma" w:cs="Tahoma"/>
      <w:sz w:val="20"/>
      <w:szCs w:val="20"/>
    </w:rPr>
  </w:style>
  <w:style w:type="paragraph" w:styleId="Footer">
    <w:name w:val="footer"/>
    <w:basedOn w:val="Normal"/>
    <w:link w:val="FooterChar"/>
    <w:uiPriority w:val="99"/>
    <w:semiHidden/>
    <w:rsid w:val="00E94B12"/>
    <w:pPr>
      <w:tabs>
        <w:tab w:val="center" w:pos="4513"/>
        <w:tab w:val="right" w:pos="9026"/>
      </w:tabs>
    </w:pPr>
  </w:style>
  <w:style w:type="character" w:customStyle="1" w:styleId="FooterChar">
    <w:name w:val="Footer Char"/>
    <w:basedOn w:val="DefaultParagraphFont"/>
    <w:link w:val="Footer"/>
    <w:uiPriority w:val="99"/>
    <w:semiHidden/>
    <w:rsid w:val="00E94B12"/>
    <w:rPr>
      <w:rFonts w:ascii="Tahoma" w:hAnsi="Tahoma" w:cs="Tahoma"/>
      <w:sz w:val="20"/>
      <w:szCs w:val="20"/>
    </w:rPr>
  </w:style>
  <w:style w:type="paragraph" w:styleId="BalloonText">
    <w:name w:val="Balloon Text"/>
    <w:basedOn w:val="Normal"/>
    <w:link w:val="BalloonTextChar"/>
    <w:uiPriority w:val="99"/>
    <w:semiHidden/>
    <w:rsid w:val="00E94B12"/>
    <w:rPr>
      <w:sz w:val="16"/>
      <w:szCs w:val="16"/>
    </w:rPr>
  </w:style>
  <w:style w:type="character" w:customStyle="1" w:styleId="BalloonTextChar">
    <w:name w:val="Balloon Text Char"/>
    <w:basedOn w:val="DefaultParagraphFont"/>
    <w:link w:val="BalloonText"/>
    <w:uiPriority w:val="99"/>
    <w:semiHidden/>
    <w:rsid w:val="00E94B12"/>
    <w:rPr>
      <w:rFonts w:ascii="Tahoma" w:hAnsi="Tahoma" w:cs="Tahoma"/>
      <w:sz w:val="16"/>
      <w:szCs w:val="16"/>
    </w:rPr>
  </w:style>
  <w:style w:type="table" w:styleId="TableGrid">
    <w:name w:val="Table Grid"/>
    <w:basedOn w:val="TableNormal"/>
    <w:uiPriority w:val="99"/>
    <w:rsid w:val="001C1B35"/>
    <w:pPr>
      <w:ind w:left="72" w:right="113"/>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3054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cdonald@wmba.org.uk" TargetMode="External"/><Relationship Id="rId3" Type="http://schemas.openxmlformats.org/officeDocument/2006/relationships/settings" Target="settings.xml"/><Relationship Id="rId7" Type="http://schemas.openxmlformats.org/officeDocument/2006/relationships/hyperlink" Target="mailto:dclarke@wmb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1665</Words>
  <Characters>9493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WMBA RESPONSE TO CESR CONSULTATION PAPER                        MiFID REVIEW- CLIENT CLASSIFICATIONS</dc:title>
  <dc:subject/>
  <dc:creator>Pamela</dc:creator>
  <cp:keywords/>
  <dc:description/>
  <cp:lastModifiedBy>amcdonald</cp:lastModifiedBy>
  <cp:revision>2</cp:revision>
  <cp:lastPrinted>2010-08-09T14:30:00Z</cp:lastPrinted>
  <dcterms:created xsi:type="dcterms:W3CDTF">2010-08-09T14:58:00Z</dcterms:created>
  <dcterms:modified xsi:type="dcterms:W3CDTF">2010-08-09T14:58:00Z</dcterms:modified>
</cp:coreProperties>
</file>