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2B500" w14:textId="2C1187F8" w:rsidR="00F43987" w:rsidRPr="00F705DE" w:rsidRDefault="00DC54DF" w:rsidP="00DC54DF">
      <w:pPr>
        <w:pStyle w:val="Nagwek2"/>
        <w:rPr>
          <w:rFonts w:ascii="Arial" w:hAnsi="Arial" w:cs="Arial"/>
          <w:lang w:val="en-US"/>
        </w:rPr>
      </w:pPr>
      <w:r w:rsidRPr="00F705DE">
        <w:rPr>
          <w:rFonts w:ascii="Arial" w:hAnsi="Arial" w:cs="Arial"/>
          <w:lang w:val="en"/>
        </w:rPr>
        <w:t xml:space="preserve">KDPW response to the ESMA Consultation on Draft Regulatory Technical Standards on the CSD Regulation </w:t>
      </w:r>
      <w:r w:rsidRPr="00F705DE">
        <w:rPr>
          <w:rFonts w:ascii="Arial" w:hAnsi="Arial" w:cs="Arial"/>
          <w:lang w:val="en-US"/>
        </w:rPr>
        <w:t>- The Operation of the Buy-in Process</w:t>
      </w:r>
    </w:p>
    <w:p w14:paraId="246C6C4A" w14:textId="77777777" w:rsidR="00DC54DF" w:rsidRPr="00F705DE" w:rsidRDefault="00DC54DF" w:rsidP="00F705DE">
      <w:pPr>
        <w:spacing w:after="0"/>
        <w:jc w:val="both"/>
        <w:rPr>
          <w:rFonts w:ascii="Arial" w:hAnsi="Arial" w:cs="Arial"/>
          <w:lang w:val="en"/>
        </w:rPr>
      </w:pPr>
    </w:p>
    <w:p w14:paraId="6E8311BF" w14:textId="057F498F" w:rsidR="00DC54DF" w:rsidRPr="00F705DE" w:rsidRDefault="0055669D" w:rsidP="00F705DE">
      <w:pPr>
        <w:spacing w:after="0"/>
        <w:jc w:val="both"/>
        <w:rPr>
          <w:rFonts w:ascii="Arial" w:hAnsi="Arial" w:cs="Arial"/>
          <w:lang w:val="en-US"/>
        </w:rPr>
      </w:pPr>
      <w:r w:rsidRPr="00F705DE">
        <w:rPr>
          <w:rFonts w:ascii="Arial" w:hAnsi="Arial" w:cs="Arial"/>
          <w:lang w:val="en-US"/>
        </w:rPr>
        <w:t>With this paper KDPW would like to present its comments to the ESMA proposal of regulatory technical standards on buy-ins presented in the ESMA Consultation Paper of 30 June 2015 on “Regulatory Technical Standards on the CSD Regulation: The Operation of the Buy-in Process” (ESMA/2015/1065), including responses to the questions raised in the Consultation Paper, as well as specific comments related to the wording of the proposed standards.</w:t>
      </w:r>
    </w:p>
    <w:p w14:paraId="15366090" w14:textId="77777777" w:rsidR="0055669D" w:rsidRPr="00F705DE" w:rsidRDefault="0055669D" w:rsidP="004D1F61">
      <w:pPr>
        <w:spacing w:after="0"/>
        <w:jc w:val="both"/>
        <w:rPr>
          <w:rFonts w:ascii="Arial" w:hAnsi="Arial" w:cs="Arial"/>
          <w:lang w:val="en-US"/>
        </w:rPr>
      </w:pPr>
    </w:p>
    <w:p w14:paraId="7852F238" w14:textId="77777777" w:rsidR="0055669D" w:rsidRPr="00F705DE" w:rsidRDefault="0055669D" w:rsidP="004D1F61">
      <w:pPr>
        <w:spacing w:after="0"/>
        <w:jc w:val="both"/>
        <w:rPr>
          <w:rFonts w:ascii="Arial" w:hAnsi="Arial" w:cs="Arial"/>
          <w:lang w:val="en-US"/>
        </w:rPr>
      </w:pPr>
    </w:p>
    <w:p w14:paraId="21233825" w14:textId="77777777" w:rsidR="0055669D" w:rsidRPr="00F705DE" w:rsidRDefault="0055669D" w:rsidP="004D1F61">
      <w:pPr>
        <w:spacing w:after="0"/>
        <w:jc w:val="both"/>
        <w:rPr>
          <w:rFonts w:ascii="Arial" w:hAnsi="Arial" w:cs="Arial"/>
          <w:lang w:val="en-US"/>
        </w:rPr>
      </w:pPr>
    </w:p>
    <w:p w14:paraId="587A8E8B" w14:textId="77777777" w:rsidR="00211680" w:rsidRPr="00F705DE" w:rsidRDefault="00211680" w:rsidP="004D1F61">
      <w:pPr>
        <w:pStyle w:val="Nagwek1"/>
        <w:numPr>
          <w:ilvl w:val="0"/>
          <w:numId w:val="16"/>
        </w:numPr>
        <w:ind w:left="567" w:hanging="567"/>
      </w:pPr>
      <w:r w:rsidRPr="00F705DE">
        <w:t>Response to the consultation questions</w:t>
      </w:r>
    </w:p>
    <w:p w14:paraId="70BB4A07" w14:textId="77777777" w:rsidR="00211680" w:rsidRPr="0045044F" w:rsidRDefault="00211680" w:rsidP="004D1F61">
      <w:pPr>
        <w:tabs>
          <w:tab w:val="left" w:pos="567"/>
        </w:tabs>
        <w:spacing w:after="0" w:line="360" w:lineRule="auto"/>
        <w:jc w:val="both"/>
        <w:rPr>
          <w:rFonts w:cs="Arial"/>
          <w:sz w:val="28"/>
        </w:rPr>
      </w:pPr>
    </w:p>
    <w:p w14:paraId="5C13DF15" w14:textId="77777777" w:rsidR="00211680" w:rsidRPr="00DC54DF" w:rsidRDefault="00211680" w:rsidP="004D1F61">
      <w:pPr>
        <w:shd w:val="clear" w:color="auto" w:fill="D9D9D9" w:themeFill="background1" w:themeFillShade="D9"/>
        <w:tabs>
          <w:tab w:val="left" w:pos="567"/>
        </w:tabs>
        <w:spacing w:after="0" w:line="360" w:lineRule="auto"/>
        <w:jc w:val="both"/>
        <w:rPr>
          <w:rFonts w:cs="Arial"/>
          <w:b/>
          <w:i/>
          <w:lang w:val="en-US"/>
        </w:rPr>
      </w:pPr>
      <w:r w:rsidRPr="00DC54DF">
        <w:rPr>
          <w:rFonts w:cs="Arial"/>
          <w:b/>
          <w:i/>
          <w:lang w:val="en-US"/>
        </w:rPr>
        <w:t>Q1: Please provide evidence of how placing the responsibility for the buy-in on the trading party will ensure the buy-in requirements are effectively applied. Please provide quantitative cost-benefit elements to sustain your arguments.</w:t>
      </w:r>
    </w:p>
    <w:p w14:paraId="60B88860" w14:textId="77777777" w:rsidR="00F705DE" w:rsidRDefault="00F705DE" w:rsidP="00586C3A">
      <w:pPr>
        <w:tabs>
          <w:tab w:val="left" w:pos="567"/>
        </w:tabs>
        <w:spacing w:after="0"/>
        <w:jc w:val="both"/>
        <w:rPr>
          <w:rFonts w:ascii="Arial" w:hAnsi="Arial" w:cs="Arial"/>
          <w:lang w:val="en-US"/>
        </w:rPr>
      </w:pPr>
    </w:p>
    <w:p w14:paraId="38F1CFED" w14:textId="2C47EC98" w:rsidR="00427D02" w:rsidRPr="00F705DE" w:rsidRDefault="00427D02" w:rsidP="00586C3A">
      <w:pPr>
        <w:tabs>
          <w:tab w:val="left" w:pos="567"/>
        </w:tabs>
        <w:spacing w:after="0"/>
        <w:jc w:val="both"/>
        <w:rPr>
          <w:rFonts w:ascii="Arial" w:hAnsi="Arial" w:cs="Arial"/>
          <w:lang w:val="en-US"/>
        </w:rPr>
      </w:pPr>
      <w:r w:rsidRPr="00F705DE">
        <w:rPr>
          <w:rFonts w:ascii="Arial" w:hAnsi="Arial" w:cs="Arial"/>
          <w:lang w:val="en-US"/>
        </w:rPr>
        <w:t xml:space="preserve">KDPW agrees with the </w:t>
      </w:r>
      <w:proofErr w:type="spellStart"/>
      <w:r w:rsidRPr="00F705DE">
        <w:rPr>
          <w:rFonts w:ascii="Arial" w:hAnsi="Arial" w:cs="Arial"/>
          <w:lang w:val="en-US"/>
        </w:rPr>
        <w:t>strenghts</w:t>
      </w:r>
      <w:proofErr w:type="spellEnd"/>
      <w:r w:rsidRPr="00F705DE">
        <w:rPr>
          <w:rFonts w:ascii="Arial" w:hAnsi="Arial" w:cs="Arial"/>
          <w:lang w:val="en-US"/>
        </w:rPr>
        <w:t xml:space="preserve"> of option 1 presented in paragraph 13 of the Consultation Paper. In our opinion this option is less risky for CSDs than options 2 and 3</w:t>
      </w:r>
      <w:r w:rsidR="0074088F" w:rsidRPr="00F705DE">
        <w:rPr>
          <w:rFonts w:ascii="Arial" w:hAnsi="Arial" w:cs="Arial"/>
          <w:lang w:val="en-US"/>
        </w:rPr>
        <w:t>, as it doesn’t involve their active role in the buy-in process.</w:t>
      </w:r>
    </w:p>
    <w:p w14:paraId="2D3EE3DE" w14:textId="77777777" w:rsidR="00F705DE" w:rsidRDefault="00F705DE" w:rsidP="00586C3A">
      <w:pPr>
        <w:tabs>
          <w:tab w:val="left" w:pos="567"/>
        </w:tabs>
        <w:spacing w:after="0"/>
        <w:jc w:val="both"/>
        <w:rPr>
          <w:rFonts w:ascii="Arial" w:hAnsi="Arial" w:cs="Arial"/>
          <w:lang w:val="en-US"/>
        </w:rPr>
      </w:pPr>
    </w:p>
    <w:p w14:paraId="5C3D4213" w14:textId="4363B475" w:rsidR="00211680" w:rsidRPr="00F705DE" w:rsidRDefault="0074088F" w:rsidP="00586C3A">
      <w:pPr>
        <w:tabs>
          <w:tab w:val="left" w:pos="567"/>
        </w:tabs>
        <w:spacing w:after="0"/>
        <w:jc w:val="both"/>
        <w:rPr>
          <w:rFonts w:ascii="Arial" w:hAnsi="Arial" w:cs="Arial"/>
          <w:lang w:val="en-US"/>
        </w:rPr>
      </w:pPr>
      <w:r w:rsidRPr="00F705DE">
        <w:rPr>
          <w:rFonts w:ascii="Arial" w:hAnsi="Arial" w:cs="Arial"/>
          <w:lang w:val="en-US"/>
        </w:rPr>
        <w:t xml:space="preserve">In our opinion, the key to the successful application of this option is setting up an </w:t>
      </w:r>
      <w:r w:rsidR="00F71FFE" w:rsidRPr="00F705DE">
        <w:rPr>
          <w:rFonts w:ascii="Arial" w:hAnsi="Arial" w:cs="Arial"/>
          <w:lang w:val="en-US"/>
        </w:rPr>
        <w:t xml:space="preserve">effective </w:t>
      </w:r>
      <w:r w:rsidRPr="00F705DE">
        <w:rPr>
          <w:rFonts w:ascii="Arial" w:hAnsi="Arial" w:cs="Arial"/>
          <w:lang w:val="en-US"/>
        </w:rPr>
        <w:t xml:space="preserve">information and notification flow through the chain of intermediaries. From the CSD perspective, the greatest challenge </w:t>
      </w:r>
      <w:r w:rsidR="00AD28A5" w:rsidRPr="00F705DE">
        <w:rPr>
          <w:rFonts w:ascii="Arial" w:hAnsi="Arial" w:cs="Arial"/>
          <w:lang w:val="en-US"/>
        </w:rPr>
        <w:t xml:space="preserve">is </w:t>
      </w:r>
      <w:r w:rsidRPr="00F705DE">
        <w:rPr>
          <w:rFonts w:ascii="Arial" w:hAnsi="Arial" w:cs="Arial"/>
          <w:lang w:val="en-US"/>
        </w:rPr>
        <w:t xml:space="preserve">to ensure </w:t>
      </w:r>
      <w:r w:rsidR="00F71FFE" w:rsidRPr="00F705DE">
        <w:rPr>
          <w:rFonts w:ascii="Arial" w:hAnsi="Arial" w:cs="Arial"/>
          <w:lang w:val="en-US"/>
        </w:rPr>
        <w:t xml:space="preserve">the effectiveness of </w:t>
      </w:r>
      <w:r w:rsidRPr="00F705DE">
        <w:rPr>
          <w:rFonts w:ascii="Arial" w:hAnsi="Arial" w:cs="Arial"/>
          <w:lang w:val="en-US"/>
        </w:rPr>
        <w:t>such a flow, reaching beyond the level of CSD participants up until the trading counterparties</w:t>
      </w:r>
      <w:r w:rsidR="00F71FFE" w:rsidRPr="00F705DE">
        <w:rPr>
          <w:rFonts w:ascii="Arial" w:hAnsi="Arial" w:cs="Arial"/>
          <w:lang w:val="en-US"/>
        </w:rPr>
        <w:t>, which would</w:t>
      </w:r>
      <w:r w:rsidR="00211680" w:rsidRPr="00F705DE">
        <w:rPr>
          <w:rFonts w:ascii="Arial" w:hAnsi="Arial" w:cs="Arial"/>
          <w:lang w:val="en-US"/>
        </w:rPr>
        <w:t xml:space="preserve"> require </w:t>
      </w:r>
      <w:proofErr w:type="spellStart"/>
      <w:r w:rsidR="00211680" w:rsidRPr="00F705DE">
        <w:rPr>
          <w:rFonts w:ascii="Arial" w:hAnsi="Arial" w:cs="Arial"/>
          <w:lang w:val="en-US"/>
        </w:rPr>
        <w:t>harmonised</w:t>
      </w:r>
      <w:proofErr w:type="spellEnd"/>
      <w:r w:rsidR="00211680" w:rsidRPr="00F705DE">
        <w:rPr>
          <w:rFonts w:ascii="Arial" w:hAnsi="Arial" w:cs="Arial"/>
          <w:lang w:val="en-US"/>
        </w:rPr>
        <w:t xml:space="preserve"> and efficient communication channels among all parties involved</w:t>
      </w:r>
      <w:r w:rsidR="00CF6A03" w:rsidRPr="00F705DE">
        <w:rPr>
          <w:rFonts w:ascii="Arial" w:hAnsi="Arial" w:cs="Arial"/>
          <w:lang w:val="en-US"/>
        </w:rPr>
        <w:t>, taking into account that</w:t>
      </w:r>
      <w:r w:rsidR="00211680" w:rsidRPr="00F705DE">
        <w:rPr>
          <w:rFonts w:ascii="Arial" w:hAnsi="Arial" w:cs="Arial"/>
          <w:lang w:val="en-US"/>
        </w:rPr>
        <w:t>:</w:t>
      </w:r>
    </w:p>
    <w:p w14:paraId="351CCD69" w14:textId="50DEE680" w:rsidR="00211680" w:rsidRPr="00F705DE" w:rsidRDefault="00211680" w:rsidP="00586C3A">
      <w:pPr>
        <w:pStyle w:val="Akapitzlist"/>
        <w:numPr>
          <w:ilvl w:val="0"/>
          <w:numId w:val="18"/>
        </w:numPr>
        <w:tabs>
          <w:tab w:val="left" w:pos="567"/>
        </w:tabs>
        <w:spacing w:after="0"/>
        <w:ind w:left="567" w:hanging="283"/>
        <w:contextualSpacing w:val="0"/>
        <w:jc w:val="both"/>
        <w:rPr>
          <w:rFonts w:ascii="Arial" w:hAnsi="Arial" w:cs="Arial"/>
          <w:lang w:val="en-US"/>
        </w:rPr>
      </w:pPr>
      <w:r w:rsidRPr="00F705DE">
        <w:rPr>
          <w:rFonts w:ascii="Arial" w:hAnsi="Arial" w:cs="Arial"/>
          <w:lang w:val="en-US"/>
        </w:rPr>
        <w:t>CSDs communicate with their participants, who in turn communicate with their clients, up until the trading counterparties. CSDs cannot be expected to communicate with trading counterparties directly as they might not have information on who the</w:t>
      </w:r>
      <w:r w:rsidR="00FB4921" w:rsidRPr="00F705DE">
        <w:rPr>
          <w:rFonts w:ascii="Arial" w:hAnsi="Arial" w:cs="Arial"/>
          <w:lang w:val="en-US"/>
        </w:rPr>
        <w:t>y</w:t>
      </w:r>
      <w:r w:rsidRPr="00F705DE">
        <w:rPr>
          <w:rFonts w:ascii="Arial" w:hAnsi="Arial" w:cs="Arial"/>
          <w:lang w:val="en-US"/>
        </w:rPr>
        <w:t xml:space="preserve"> are, and as they have no contractual relationships with </w:t>
      </w:r>
      <w:r w:rsidR="00FB4921" w:rsidRPr="00F705DE">
        <w:rPr>
          <w:rFonts w:ascii="Arial" w:hAnsi="Arial" w:cs="Arial"/>
          <w:lang w:val="en-US"/>
        </w:rPr>
        <w:t>them</w:t>
      </w:r>
      <w:r w:rsidRPr="00F705DE">
        <w:rPr>
          <w:rFonts w:ascii="Arial" w:hAnsi="Arial" w:cs="Arial"/>
          <w:lang w:val="en-US"/>
        </w:rPr>
        <w:t>;</w:t>
      </w:r>
    </w:p>
    <w:p w14:paraId="1C8ECC63" w14:textId="149BBBAD" w:rsidR="00211680" w:rsidRPr="00F705DE" w:rsidRDefault="00FB4921" w:rsidP="00FB4921">
      <w:pPr>
        <w:pStyle w:val="Akapitzlist"/>
        <w:numPr>
          <w:ilvl w:val="0"/>
          <w:numId w:val="18"/>
        </w:numPr>
        <w:tabs>
          <w:tab w:val="left" w:pos="567"/>
        </w:tabs>
        <w:spacing w:after="0"/>
        <w:ind w:left="567" w:hanging="283"/>
        <w:contextualSpacing w:val="0"/>
        <w:jc w:val="both"/>
        <w:rPr>
          <w:rFonts w:ascii="Arial" w:hAnsi="Arial" w:cs="Arial"/>
          <w:lang w:val="en-US"/>
        </w:rPr>
      </w:pPr>
      <w:proofErr w:type="gramStart"/>
      <w:r w:rsidRPr="00F705DE">
        <w:rPr>
          <w:rFonts w:ascii="Arial" w:hAnsi="Arial" w:cs="Arial"/>
          <w:lang w:val="en-US"/>
        </w:rPr>
        <w:t>as</w:t>
      </w:r>
      <w:proofErr w:type="gramEnd"/>
      <w:r w:rsidRPr="00F705DE">
        <w:rPr>
          <w:rFonts w:ascii="Arial" w:hAnsi="Arial" w:cs="Arial"/>
          <w:lang w:val="en-US"/>
        </w:rPr>
        <w:t xml:space="preserve"> a consequence of the above, </w:t>
      </w:r>
      <w:r w:rsidR="00211680" w:rsidRPr="00F705DE">
        <w:rPr>
          <w:rFonts w:ascii="Arial" w:hAnsi="Arial" w:cs="Arial"/>
          <w:lang w:val="en-US"/>
        </w:rPr>
        <w:t>CSDs cannot be held liable for the accuracy of the information provided to regulators or others as a result of article 17(3)</w:t>
      </w:r>
      <w:r w:rsidRPr="00F705DE">
        <w:rPr>
          <w:rFonts w:ascii="Arial" w:hAnsi="Arial" w:cs="Arial"/>
          <w:lang w:val="en-US"/>
        </w:rPr>
        <w:t xml:space="preserve">, as </w:t>
      </w:r>
      <w:r w:rsidR="00F705DE" w:rsidRPr="00F705DE">
        <w:rPr>
          <w:rFonts w:ascii="Arial" w:hAnsi="Arial" w:cs="Arial"/>
          <w:lang w:val="en-US"/>
        </w:rPr>
        <w:t>t</w:t>
      </w:r>
      <w:r w:rsidRPr="00F705DE">
        <w:rPr>
          <w:rFonts w:ascii="Arial" w:hAnsi="Arial" w:cs="Arial"/>
          <w:lang w:val="en-US"/>
        </w:rPr>
        <w:t>hey</w:t>
      </w:r>
      <w:r w:rsidR="00211680" w:rsidRPr="00F705DE">
        <w:rPr>
          <w:rFonts w:ascii="Arial" w:hAnsi="Arial" w:cs="Arial"/>
          <w:lang w:val="en-US"/>
        </w:rPr>
        <w:t xml:space="preserve"> will not be in a position to cross-check the information and should only be obliged to transmit the information provided. </w:t>
      </w:r>
    </w:p>
    <w:p w14:paraId="2D43A3B8" w14:textId="77777777" w:rsidR="00211680" w:rsidRPr="00F705DE" w:rsidRDefault="00211680" w:rsidP="004D1F61">
      <w:pPr>
        <w:tabs>
          <w:tab w:val="left" w:pos="567"/>
        </w:tabs>
        <w:spacing w:after="0" w:line="360" w:lineRule="auto"/>
        <w:jc w:val="both"/>
        <w:rPr>
          <w:rFonts w:ascii="Arial" w:hAnsi="Arial" w:cs="Arial"/>
          <w:lang w:val="en-US"/>
        </w:rPr>
      </w:pPr>
    </w:p>
    <w:p w14:paraId="16EC94B3" w14:textId="41B74283" w:rsidR="00211680" w:rsidRPr="00F705DE" w:rsidRDefault="00211680" w:rsidP="00586C3A">
      <w:pPr>
        <w:tabs>
          <w:tab w:val="left" w:pos="567"/>
        </w:tabs>
        <w:spacing w:after="0"/>
        <w:jc w:val="both"/>
        <w:rPr>
          <w:rFonts w:ascii="Arial" w:hAnsi="Arial" w:cs="Arial"/>
          <w:lang w:val="en-US"/>
        </w:rPr>
      </w:pPr>
      <w:r w:rsidRPr="00F705DE">
        <w:rPr>
          <w:rFonts w:ascii="Arial" w:hAnsi="Arial" w:cs="Arial"/>
          <w:lang w:val="en-US"/>
        </w:rPr>
        <w:t xml:space="preserve">As regards reporting to regulators, </w:t>
      </w:r>
      <w:r w:rsidR="00BD211C" w:rsidRPr="00F705DE">
        <w:rPr>
          <w:rFonts w:ascii="Arial" w:hAnsi="Arial" w:cs="Arial"/>
          <w:lang w:val="en-US"/>
        </w:rPr>
        <w:t>KDPW</w:t>
      </w:r>
      <w:r w:rsidRPr="00F705DE">
        <w:rPr>
          <w:rFonts w:ascii="Arial" w:hAnsi="Arial" w:cs="Arial"/>
          <w:lang w:val="en-US"/>
        </w:rPr>
        <w:t xml:space="preserve"> is of the opinion that CSDs should only have to report on those instructions for which a buy-in has been initiated, and not on the execution of buy-ins, which will be handled at trading level. Further reporting could however be provided by CSDs to regulators on instructions subject to a buy-in which are still pending in the settlement system after the defined buy-in execution period.</w:t>
      </w:r>
    </w:p>
    <w:p w14:paraId="0D115C1D" w14:textId="77777777" w:rsidR="00211680" w:rsidRPr="00DC54DF" w:rsidRDefault="00211680" w:rsidP="004D1F61">
      <w:pPr>
        <w:tabs>
          <w:tab w:val="left" w:pos="567"/>
        </w:tabs>
        <w:spacing w:after="0" w:line="360" w:lineRule="auto"/>
        <w:jc w:val="both"/>
        <w:rPr>
          <w:rFonts w:cs="Arial"/>
          <w:b/>
          <w:sz w:val="28"/>
          <w:szCs w:val="28"/>
          <w:lang w:val="en-US"/>
        </w:rPr>
      </w:pPr>
    </w:p>
    <w:p w14:paraId="6E078A24" w14:textId="77777777" w:rsidR="00211680" w:rsidRPr="00DC54DF" w:rsidRDefault="00211680" w:rsidP="004D1F61">
      <w:pPr>
        <w:shd w:val="clear" w:color="auto" w:fill="D9D9D9" w:themeFill="background1" w:themeFillShade="D9"/>
        <w:tabs>
          <w:tab w:val="left" w:pos="567"/>
        </w:tabs>
        <w:spacing w:after="0" w:line="360" w:lineRule="auto"/>
        <w:jc w:val="both"/>
        <w:rPr>
          <w:rFonts w:cs="Arial"/>
          <w:b/>
          <w:i/>
          <w:lang w:val="en-US"/>
        </w:rPr>
      </w:pPr>
      <w:r w:rsidRPr="00DC54DF">
        <w:rPr>
          <w:rFonts w:cs="Arial"/>
          <w:b/>
          <w:i/>
          <w:lang w:val="en-US"/>
        </w:rPr>
        <w:lastRenderedPageBreak/>
        <w:t xml:space="preserve">Q2: Please indicate whether the assumption that the trading party has all the information required to apply the buy in would be correct, in particular in cases where the fail does not originate from the trading party, but would rather be due to a lack of securities held by one of the intermediaries within the chain.    </w:t>
      </w:r>
    </w:p>
    <w:p w14:paraId="2254A4B7" w14:textId="77777777" w:rsidR="00F705DE" w:rsidRDefault="00F705DE" w:rsidP="00586C3A">
      <w:pPr>
        <w:tabs>
          <w:tab w:val="left" w:pos="567"/>
        </w:tabs>
        <w:spacing w:after="0"/>
        <w:jc w:val="both"/>
        <w:rPr>
          <w:rFonts w:ascii="Arial" w:hAnsi="Arial" w:cs="Arial"/>
          <w:lang w:val="en-US"/>
        </w:rPr>
      </w:pPr>
    </w:p>
    <w:p w14:paraId="151917C6" w14:textId="5B5AFA41" w:rsidR="00211680" w:rsidRPr="00F705DE" w:rsidRDefault="00427D02" w:rsidP="00586C3A">
      <w:pPr>
        <w:tabs>
          <w:tab w:val="left" w:pos="567"/>
        </w:tabs>
        <w:spacing w:after="0"/>
        <w:jc w:val="both"/>
        <w:rPr>
          <w:rFonts w:ascii="Arial" w:hAnsi="Arial" w:cs="Arial"/>
          <w:lang w:val="en-US"/>
        </w:rPr>
      </w:pPr>
      <w:r w:rsidRPr="00F705DE">
        <w:rPr>
          <w:rFonts w:ascii="Arial" w:hAnsi="Arial" w:cs="Arial"/>
          <w:lang w:val="en-US"/>
        </w:rPr>
        <w:t>KDPW</w:t>
      </w:r>
      <w:r w:rsidR="00211680" w:rsidRPr="00F705DE">
        <w:rPr>
          <w:rFonts w:ascii="Arial" w:hAnsi="Arial" w:cs="Arial"/>
          <w:lang w:val="en-US"/>
        </w:rPr>
        <w:t xml:space="preserve"> participants are always informed about failed settlement instructions, and are therefore able to communicate this information to their own clients (although </w:t>
      </w:r>
      <w:r w:rsidR="00FD6429" w:rsidRPr="00F705DE">
        <w:rPr>
          <w:rFonts w:ascii="Arial" w:hAnsi="Arial" w:cs="Arial"/>
          <w:lang w:val="en-US"/>
        </w:rPr>
        <w:t>KDPW</w:t>
      </w:r>
      <w:r w:rsidR="00211680" w:rsidRPr="00F705DE">
        <w:rPr>
          <w:rFonts w:ascii="Arial" w:hAnsi="Arial" w:cs="Arial"/>
          <w:lang w:val="en-US"/>
        </w:rPr>
        <w:t xml:space="preserve"> </w:t>
      </w:r>
      <w:r w:rsidR="00FD6429" w:rsidRPr="00F705DE">
        <w:rPr>
          <w:rFonts w:ascii="Arial" w:hAnsi="Arial" w:cs="Arial"/>
          <w:lang w:val="en-US"/>
        </w:rPr>
        <w:t>is not able to monitor</w:t>
      </w:r>
      <w:r w:rsidR="00211680" w:rsidRPr="00F705DE">
        <w:rPr>
          <w:rFonts w:ascii="Arial" w:hAnsi="Arial" w:cs="Arial"/>
          <w:lang w:val="en-US"/>
        </w:rPr>
        <w:t xml:space="preserve"> this process, and the participant's client will not necessarily be the trading counterparty). In </w:t>
      </w:r>
      <w:r w:rsidR="00E0451C" w:rsidRPr="00F705DE">
        <w:rPr>
          <w:rFonts w:ascii="Arial" w:hAnsi="Arial" w:cs="Arial"/>
          <w:lang w:val="en-US"/>
        </w:rPr>
        <w:t xml:space="preserve">the </w:t>
      </w:r>
      <w:r w:rsidR="00211680" w:rsidRPr="00F705DE">
        <w:rPr>
          <w:rFonts w:ascii="Arial" w:hAnsi="Arial" w:cs="Arial"/>
          <w:lang w:val="en-US"/>
        </w:rPr>
        <w:t xml:space="preserve">case </w:t>
      </w:r>
      <w:r w:rsidR="00E0451C" w:rsidRPr="00F705DE">
        <w:rPr>
          <w:rFonts w:ascii="Arial" w:hAnsi="Arial" w:cs="Arial"/>
          <w:lang w:val="en-US"/>
        </w:rPr>
        <w:t>where</w:t>
      </w:r>
      <w:r w:rsidR="00211680" w:rsidRPr="00F705DE">
        <w:rPr>
          <w:rFonts w:ascii="Arial" w:hAnsi="Arial" w:cs="Arial"/>
          <w:lang w:val="en-US"/>
        </w:rPr>
        <w:t xml:space="preserve"> </w:t>
      </w:r>
      <w:r w:rsidR="00E0451C" w:rsidRPr="00F705DE">
        <w:rPr>
          <w:rFonts w:ascii="Arial" w:hAnsi="Arial" w:cs="Arial"/>
          <w:lang w:val="en-US"/>
        </w:rPr>
        <w:t>the</w:t>
      </w:r>
      <w:r w:rsidR="00211680" w:rsidRPr="00F705DE">
        <w:rPr>
          <w:rFonts w:ascii="Arial" w:hAnsi="Arial" w:cs="Arial"/>
          <w:lang w:val="en-US"/>
        </w:rPr>
        <w:t xml:space="preserve"> fail is no</w:t>
      </w:r>
      <w:r w:rsidR="00E0451C" w:rsidRPr="00F705DE">
        <w:rPr>
          <w:rFonts w:ascii="Arial" w:hAnsi="Arial" w:cs="Arial"/>
          <w:lang w:val="en-US"/>
        </w:rPr>
        <w:t>t caused by the</w:t>
      </w:r>
      <w:r w:rsidR="00211680" w:rsidRPr="00F705DE">
        <w:rPr>
          <w:rFonts w:ascii="Arial" w:hAnsi="Arial" w:cs="Arial"/>
          <w:lang w:val="en-US"/>
        </w:rPr>
        <w:t xml:space="preserve"> lack of securities on the side of the trading counterparty </w:t>
      </w:r>
      <w:r w:rsidR="00E0451C" w:rsidRPr="00F705DE">
        <w:rPr>
          <w:rFonts w:ascii="Arial" w:hAnsi="Arial" w:cs="Arial"/>
          <w:lang w:val="en-US"/>
        </w:rPr>
        <w:t xml:space="preserve">and the buy-in is triggered by the suffering party, </w:t>
      </w:r>
      <w:r w:rsidR="0017114B" w:rsidRPr="00F705DE">
        <w:rPr>
          <w:rFonts w:ascii="Arial" w:hAnsi="Arial" w:cs="Arial"/>
          <w:lang w:val="en-US"/>
        </w:rPr>
        <w:t>KDPW</w:t>
      </w:r>
      <w:r w:rsidR="00211680" w:rsidRPr="00F705DE">
        <w:rPr>
          <w:rFonts w:ascii="Arial" w:hAnsi="Arial" w:cs="Arial"/>
          <w:lang w:val="en-US"/>
        </w:rPr>
        <w:t xml:space="preserve"> expects </w:t>
      </w:r>
      <w:r w:rsidR="00E0451C" w:rsidRPr="00F705DE">
        <w:rPr>
          <w:rFonts w:ascii="Arial" w:hAnsi="Arial" w:cs="Arial"/>
          <w:lang w:val="en-US"/>
        </w:rPr>
        <w:t>it</w:t>
      </w:r>
      <w:r w:rsidR="00211680" w:rsidRPr="00F705DE">
        <w:rPr>
          <w:rFonts w:ascii="Arial" w:hAnsi="Arial" w:cs="Arial"/>
          <w:lang w:val="en-US"/>
        </w:rPr>
        <w:t xml:space="preserve"> to be solved through the contractual arrangements among intermediaries</w:t>
      </w:r>
      <w:r w:rsidR="00E0451C" w:rsidRPr="00F705DE">
        <w:rPr>
          <w:rFonts w:ascii="Arial" w:hAnsi="Arial" w:cs="Arial"/>
          <w:lang w:val="en-US"/>
        </w:rPr>
        <w:t xml:space="preserve">, who </w:t>
      </w:r>
      <w:r w:rsidR="00211680" w:rsidRPr="00F705DE">
        <w:rPr>
          <w:rFonts w:ascii="Arial" w:hAnsi="Arial" w:cs="Arial"/>
          <w:lang w:val="en-US"/>
        </w:rPr>
        <w:t>will have an incentive to identify the responsible party in the chain in order to p</w:t>
      </w:r>
      <w:r w:rsidR="00E0451C" w:rsidRPr="00F705DE">
        <w:rPr>
          <w:rFonts w:ascii="Arial" w:hAnsi="Arial" w:cs="Arial"/>
          <w:lang w:val="en-US"/>
        </w:rPr>
        <w:t>ass on the costs of the buy-in.</w:t>
      </w:r>
    </w:p>
    <w:p w14:paraId="7EB1BCBA" w14:textId="77777777" w:rsidR="00211680" w:rsidRPr="00F705DE" w:rsidRDefault="00211680" w:rsidP="004D1F61">
      <w:pPr>
        <w:tabs>
          <w:tab w:val="left" w:pos="567"/>
        </w:tabs>
        <w:spacing w:after="0" w:line="360" w:lineRule="auto"/>
        <w:jc w:val="both"/>
        <w:rPr>
          <w:rFonts w:ascii="Arial" w:hAnsi="Arial" w:cs="Arial"/>
          <w:sz w:val="28"/>
          <w:szCs w:val="28"/>
          <w:lang w:val="en-US"/>
        </w:rPr>
      </w:pPr>
    </w:p>
    <w:p w14:paraId="03A21573" w14:textId="77777777" w:rsidR="00211680" w:rsidRPr="00DC54DF" w:rsidRDefault="00211680" w:rsidP="004D1F61">
      <w:pPr>
        <w:shd w:val="clear" w:color="auto" w:fill="D9D9D9" w:themeFill="background1" w:themeFillShade="D9"/>
        <w:tabs>
          <w:tab w:val="left" w:pos="567"/>
        </w:tabs>
        <w:spacing w:after="0" w:line="360" w:lineRule="auto"/>
        <w:jc w:val="both"/>
        <w:rPr>
          <w:rFonts w:cs="Arial"/>
          <w:b/>
          <w:i/>
          <w:lang w:val="en-US"/>
        </w:rPr>
      </w:pPr>
      <w:r w:rsidRPr="00DC54DF">
        <w:rPr>
          <w:rFonts w:cs="Arial"/>
          <w:b/>
          <w:i/>
          <w:lang w:val="en-US"/>
        </w:rPr>
        <w:t xml:space="preserve">Q3: Should you believe that the </w:t>
      </w:r>
      <w:proofErr w:type="spellStart"/>
      <w:r w:rsidRPr="00DC54DF">
        <w:rPr>
          <w:rFonts w:cs="Arial"/>
          <w:b/>
          <w:i/>
          <w:lang w:val="en-US"/>
        </w:rPr>
        <w:t>collateralisation</w:t>
      </w:r>
      <w:proofErr w:type="spellEnd"/>
      <w:r w:rsidRPr="00DC54DF">
        <w:rPr>
          <w:rFonts w:cs="Arial"/>
          <w:b/>
          <w:i/>
          <w:lang w:val="en-US"/>
        </w:rPr>
        <w:t xml:space="preserve"> costs attached to this option are significant, please provide detailed quantitative data to estimate the exact costs and please explain why a participant would need to </w:t>
      </w:r>
      <w:proofErr w:type="spellStart"/>
      <w:r w:rsidRPr="00DC54DF">
        <w:rPr>
          <w:rFonts w:cs="Arial"/>
          <w:b/>
          <w:i/>
          <w:lang w:val="en-US"/>
        </w:rPr>
        <w:t>collateralise</w:t>
      </w:r>
      <w:proofErr w:type="spellEnd"/>
      <w:r w:rsidRPr="00DC54DF">
        <w:rPr>
          <w:rFonts w:cs="Arial"/>
          <w:b/>
          <w:i/>
          <w:lang w:val="en-US"/>
        </w:rPr>
        <w:t xml:space="preserve"> its settlement instructions under this option.</w:t>
      </w:r>
    </w:p>
    <w:p w14:paraId="7C1D8336" w14:textId="77777777" w:rsidR="00211680" w:rsidRPr="00DC54DF" w:rsidRDefault="00211680" w:rsidP="004D1F61">
      <w:pPr>
        <w:tabs>
          <w:tab w:val="left" w:pos="567"/>
        </w:tabs>
        <w:spacing w:after="0" w:line="360" w:lineRule="auto"/>
        <w:jc w:val="both"/>
        <w:rPr>
          <w:rFonts w:cs="Arial"/>
          <w:b/>
          <w:lang w:val="en-US"/>
        </w:rPr>
      </w:pPr>
    </w:p>
    <w:p w14:paraId="1A354535" w14:textId="77777777" w:rsidR="005573AE" w:rsidRPr="00F705DE" w:rsidRDefault="00211680" w:rsidP="00586C3A">
      <w:pPr>
        <w:tabs>
          <w:tab w:val="left" w:pos="567"/>
        </w:tabs>
        <w:spacing w:after="0"/>
        <w:jc w:val="both"/>
        <w:rPr>
          <w:rFonts w:ascii="Arial" w:hAnsi="Arial" w:cs="Arial"/>
          <w:lang w:val="en-US"/>
        </w:rPr>
      </w:pPr>
      <w:r w:rsidRPr="00F705DE">
        <w:rPr>
          <w:rFonts w:ascii="Arial" w:hAnsi="Arial" w:cs="Arial"/>
          <w:lang w:val="en-US"/>
        </w:rPr>
        <w:t xml:space="preserve">Option 2 would require CSD participants to pay for the cost of a buy-in or for the cash compensation in case the failing trading counterparty does not fulfil its buy-in obligation. </w:t>
      </w:r>
      <w:r w:rsidR="00B03982" w:rsidRPr="00F705DE">
        <w:rPr>
          <w:rFonts w:ascii="Arial" w:hAnsi="Arial" w:cs="Arial"/>
          <w:lang w:val="en-US"/>
        </w:rPr>
        <w:t xml:space="preserve">Thus, they will take collateral from their clients to protect </w:t>
      </w:r>
      <w:r w:rsidR="00BD5924" w:rsidRPr="00F705DE">
        <w:rPr>
          <w:rFonts w:ascii="Arial" w:hAnsi="Arial" w:cs="Arial"/>
          <w:lang w:val="en-US"/>
        </w:rPr>
        <w:t xml:space="preserve">themselves against the associated settlement risk. </w:t>
      </w:r>
    </w:p>
    <w:p w14:paraId="243FD228" w14:textId="77777777" w:rsidR="00F705DE" w:rsidRDefault="00F705DE" w:rsidP="00586C3A">
      <w:pPr>
        <w:tabs>
          <w:tab w:val="left" w:pos="567"/>
        </w:tabs>
        <w:spacing w:after="0"/>
        <w:jc w:val="both"/>
        <w:rPr>
          <w:rFonts w:ascii="Arial" w:hAnsi="Arial" w:cs="Arial"/>
          <w:lang w:val="en-US"/>
        </w:rPr>
      </w:pPr>
    </w:p>
    <w:p w14:paraId="133FB5CA" w14:textId="08ACCEE9" w:rsidR="00211680" w:rsidRPr="00F705DE" w:rsidRDefault="0017114B" w:rsidP="00586C3A">
      <w:pPr>
        <w:tabs>
          <w:tab w:val="left" w:pos="567"/>
        </w:tabs>
        <w:spacing w:after="0"/>
        <w:jc w:val="both"/>
        <w:rPr>
          <w:rFonts w:ascii="Arial" w:hAnsi="Arial" w:cs="Arial"/>
          <w:lang w:val="en-US"/>
        </w:rPr>
      </w:pPr>
      <w:r w:rsidRPr="00F705DE">
        <w:rPr>
          <w:rFonts w:ascii="Arial" w:hAnsi="Arial" w:cs="Arial"/>
          <w:lang w:val="en-US"/>
        </w:rPr>
        <w:t>KDPW</w:t>
      </w:r>
      <w:r w:rsidR="00211680" w:rsidRPr="00F705DE">
        <w:rPr>
          <w:rFonts w:ascii="Arial" w:hAnsi="Arial" w:cs="Arial"/>
          <w:lang w:val="en-US"/>
        </w:rPr>
        <w:t xml:space="preserve"> cannot estimate the costs of such a requirement and believes that CSD participants are best placed to answer this question.</w:t>
      </w:r>
    </w:p>
    <w:p w14:paraId="0E2DD3F0" w14:textId="77777777" w:rsidR="00211680" w:rsidRPr="00F705DE" w:rsidRDefault="00211680" w:rsidP="004D1F61">
      <w:pPr>
        <w:tabs>
          <w:tab w:val="left" w:pos="567"/>
        </w:tabs>
        <w:spacing w:after="0" w:line="360" w:lineRule="auto"/>
        <w:jc w:val="both"/>
        <w:rPr>
          <w:rFonts w:ascii="Arial" w:hAnsi="Arial" w:cs="Arial"/>
          <w:b/>
          <w:sz w:val="28"/>
          <w:szCs w:val="28"/>
          <w:lang w:val="en-US"/>
        </w:rPr>
      </w:pPr>
    </w:p>
    <w:p w14:paraId="0F285197" w14:textId="77777777" w:rsidR="00211680" w:rsidRPr="00DC54DF" w:rsidRDefault="00211680" w:rsidP="004D1F61">
      <w:pPr>
        <w:shd w:val="clear" w:color="auto" w:fill="D9D9D9" w:themeFill="background1" w:themeFillShade="D9"/>
        <w:tabs>
          <w:tab w:val="left" w:pos="567"/>
        </w:tabs>
        <w:spacing w:after="0" w:line="360" w:lineRule="auto"/>
        <w:jc w:val="both"/>
        <w:rPr>
          <w:rFonts w:cs="Arial"/>
          <w:b/>
          <w:i/>
          <w:lang w:val="en-US"/>
        </w:rPr>
      </w:pPr>
      <w:r w:rsidRPr="00DC54DF">
        <w:rPr>
          <w:rFonts w:cs="Arial"/>
          <w:b/>
          <w:i/>
          <w:lang w:val="en-US"/>
        </w:rPr>
        <w:t>Q4: If you believe that option 1 (trading party executes the buy-in) can ensure the applicability of the buy-in provisions are effectively applied, please explain why and what are the disadvantages of the proposed option 2 (trading party executes the buy-in with participant as fall back) compared to option 1, or please evidence the higher costs that option 2 would incur. Please provide details of these costs.</w:t>
      </w:r>
    </w:p>
    <w:p w14:paraId="18CED890" w14:textId="77777777" w:rsidR="00211680" w:rsidRPr="00DC54DF" w:rsidRDefault="00211680" w:rsidP="004D1F61">
      <w:pPr>
        <w:tabs>
          <w:tab w:val="left" w:pos="567"/>
        </w:tabs>
        <w:spacing w:after="0" w:line="360" w:lineRule="auto"/>
        <w:jc w:val="both"/>
        <w:rPr>
          <w:rFonts w:cs="Arial"/>
          <w:b/>
          <w:lang w:val="en-US"/>
        </w:rPr>
      </w:pPr>
    </w:p>
    <w:p w14:paraId="5256C375" w14:textId="025E7B5E" w:rsidR="00211680" w:rsidRPr="00F705DE" w:rsidRDefault="00211680" w:rsidP="00586C3A">
      <w:pPr>
        <w:tabs>
          <w:tab w:val="left" w:pos="567"/>
        </w:tabs>
        <w:spacing w:after="0"/>
        <w:jc w:val="both"/>
        <w:rPr>
          <w:rFonts w:ascii="Arial" w:hAnsi="Arial" w:cs="Arial"/>
          <w:lang w:val="en-US"/>
        </w:rPr>
      </w:pPr>
      <w:r w:rsidRPr="00F705DE">
        <w:rPr>
          <w:rFonts w:ascii="Arial" w:hAnsi="Arial" w:cs="Arial"/>
          <w:lang w:val="en-US"/>
        </w:rPr>
        <w:t xml:space="preserve">Like option 3, option 2 would require CSD participants to take collateral from clients. Such collateral requirements would have an adverse impact on market efficiency and liquidity, thus increasing the cost of settlement without providing the guarantee that this would effectively help to foster buy-in execution. </w:t>
      </w:r>
    </w:p>
    <w:p w14:paraId="659553B7" w14:textId="77777777" w:rsidR="00211680" w:rsidRPr="00F705DE" w:rsidRDefault="00211680" w:rsidP="00586C3A">
      <w:pPr>
        <w:tabs>
          <w:tab w:val="left" w:pos="567"/>
        </w:tabs>
        <w:spacing w:after="0"/>
        <w:jc w:val="both"/>
        <w:rPr>
          <w:rFonts w:ascii="Arial" w:hAnsi="Arial" w:cs="Arial"/>
          <w:lang w:val="en-US"/>
        </w:rPr>
      </w:pPr>
    </w:p>
    <w:p w14:paraId="2CB9891F" w14:textId="414C321A" w:rsidR="00211680" w:rsidRPr="00F705DE" w:rsidRDefault="00211680" w:rsidP="00586C3A">
      <w:pPr>
        <w:tabs>
          <w:tab w:val="left" w:pos="567"/>
        </w:tabs>
        <w:spacing w:after="0"/>
        <w:jc w:val="both"/>
        <w:rPr>
          <w:rFonts w:ascii="Arial" w:hAnsi="Arial" w:cs="Arial"/>
          <w:lang w:val="en-US"/>
        </w:rPr>
      </w:pPr>
      <w:r w:rsidRPr="00F705DE">
        <w:rPr>
          <w:rFonts w:ascii="Arial" w:hAnsi="Arial" w:cs="Arial"/>
          <w:lang w:val="en-US"/>
        </w:rPr>
        <w:t>Moreover, from a CSD perspective, options 2 and 3 have a</w:t>
      </w:r>
      <w:r w:rsidR="00E96157" w:rsidRPr="00F705DE">
        <w:rPr>
          <w:rFonts w:ascii="Arial" w:hAnsi="Arial" w:cs="Arial"/>
          <w:lang w:val="en-US"/>
        </w:rPr>
        <w:t>n additional</w:t>
      </w:r>
      <w:r w:rsidRPr="00F705DE">
        <w:rPr>
          <w:rFonts w:ascii="Arial" w:hAnsi="Arial" w:cs="Arial"/>
          <w:lang w:val="en-US"/>
        </w:rPr>
        <w:t xml:space="preserve"> disadvantage compared to option 1 </w:t>
      </w:r>
      <w:r w:rsidR="00E96157" w:rsidRPr="00F705DE">
        <w:rPr>
          <w:rFonts w:ascii="Arial" w:hAnsi="Arial" w:cs="Arial"/>
          <w:lang w:val="en-US"/>
        </w:rPr>
        <w:t>as</w:t>
      </w:r>
      <w:r w:rsidRPr="00F705DE">
        <w:rPr>
          <w:rFonts w:ascii="Arial" w:hAnsi="Arial" w:cs="Arial"/>
          <w:lang w:val="en-US"/>
        </w:rPr>
        <w:t xml:space="preserve"> they could impose new risks and liabilities on CSDs </w:t>
      </w:r>
      <w:r w:rsidR="00E96157" w:rsidRPr="00F705DE">
        <w:rPr>
          <w:rFonts w:ascii="Arial" w:hAnsi="Arial" w:cs="Arial"/>
          <w:lang w:val="en-US"/>
        </w:rPr>
        <w:t>acting as participants in other CSDs because of the</w:t>
      </w:r>
      <w:r w:rsidRPr="00F705DE">
        <w:rPr>
          <w:rFonts w:ascii="Arial" w:hAnsi="Arial" w:cs="Arial"/>
          <w:lang w:val="en-US"/>
        </w:rPr>
        <w:t xml:space="preserve"> </w:t>
      </w:r>
      <w:r w:rsidR="00B92261" w:rsidRPr="00F705DE">
        <w:rPr>
          <w:rFonts w:ascii="Arial" w:hAnsi="Arial" w:cs="Arial"/>
          <w:lang w:val="en-US"/>
        </w:rPr>
        <w:t xml:space="preserve">operational </w:t>
      </w:r>
      <w:r w:rsidRPr="00F705DE">
        <w:rPr>
          <w:rFonts w:ascii="Arial" w:hAnsi="Arial" w:cs="Arial"/>
          <w:lang w:val="en-US"/>
        </w:rPr>
        <w:t xml:space="preserve">links </w:t>
      </w:r>
      <w:r w:rsidR="00E96157" w:rsidRPr="00F705DE">
        <w:rPr>
          <w:rFonts w:ascii="Arial" w:hAnsi="Arial" w:cs="Arial"/>
          <w:lang w:val="en-US"/>
        </w:rPr>
        <w:t>they have</w:t>
      </w:r>
      <w:r w:rsidRPr="00F705DE">
        <w:rPr>
          <w:rFonts w:ascii="Arial" w:hAnsi="Arial" w:cs="Arial"/>
          <w:lang w:val="en-US"/>
        </w:rPr>
        <w:t xml:space="preserve">. </w:t>
      </w:r>
      <w:r w:rsidR="008D6C7D" w:rsidRPr="00F705DE">
        <w:rPr>
          <w:rFonts w:ascii="Arial" w:hAnsi="Arial" w:cs="Arial"/>
          <w:lang w:val="en-US"/>
        </w:rPr>
        <w:t>A</w:t>
      </w:r>
      <w:r w:rsidR="00E96157" w:rsidRPr="00F705DE">
        <w:rPr>
          <w:rFonts w:ascii="Arial" w:hAnsi="Arial" w:cs="Arial"/>
          <w:lang w:val="en-US"/>
        </w:rPr>
        <w:t xml:space="preserve"> CSD </w:t>
      </w:r>
      <w:r w:rsidR="00B92261" w:rsidRPr="00F705DE">
        <w:rPr>
          <w:rFonts w:ascii="Arial" w:hAnsi="Arial" w:cs="Arial"/>
          <w:lang w:val="en-US"/>
        </w:rPr>
        <w:t>establishing a link with another CSD</w:t>
      </w:r>
      <w:r w:rsidRPr="00F705DE">
        <w:rPr>
          <w:rFonts w:ascii="Arial" w:hAnsi="Arial" w:cs="Arial"/>
          <w:lang w:val="en-US"/>
        </w:rPr>
        <w:t xml:space="preserve"> becomes a participant in that CSD, subject to the same terms and </w:t>
      </w:r>
      <w:r w:rsidRPr="00F705DE">
        <w:rPr>
          <w:rFonts w:ascii="Arial" w:hAnsi="Arial" w:cs="Arial"/>
          <w:lang w:val="en-US"/>
        </w:rPr>
        <w:lastRenderedPageBreak/>
        <w:t xml:space="preserve">conditions as all other participants. If options 2 or 3 are implemented, there is a risk that a CSD </w:t>
      </w:r>
      <w:r w:rsidR="008D6C7D" w:rsidRPr="00F705DE">
        <w:rPr>
          <w:rFonts w:ascii="Arial" w:hAnsi="Arial" w:cs="Arial"/>
          <w:lang w:val="en-US"/>
        </w:rPr>
        <w:t>could be</w:t>
      </w:r>
      <w:r w:rsidRPr="00F705DE">
        <w:rPr>
          <w:rFonts w:ascii="Arial" w:hAnsi="Arial" w:cs="Arial"/>
          <w:lang w:val="en-US"/>
        </w:rPr>
        <w:t xml:space="preserve"> required, in its capacity as participant in another EU CSD, </w:t>
      </w:r>
      <w:r w:rsidR="008D6C7D" w:rsidRPr="00F705DE">
        <w:rPr>
          <w:rFonts w:ascii="Arial" w:hAnsi="Arial" w:cs="Arial"/>
          <w:lang w:val="en-US"/>
        </w:rPr>
        <w:t xml:space="preserve">either to pay cash compensation or </w:t>
      </w:r>
      <w:r w:rsidRPr="00F705DE">
        <w:rPr>
          <w:rFonts w:ascii="Arial" w:hAnsi="Arial" w:cs="Arial"/>
          <w:lang w:val="en-US"/>
        </w:rPr>
        <w:t xml:space="preserve">to </w:t>
      </w:r>
      <w:r w:rsidR="008D6C7D" w:rsidRPr="00F705DE">
        <w:rPr>
          <w:rFonts w:ascii="Arial" w:hAnsi="Arial" w:cs="Arial"/>
          <w:lang w:val="en-US"/>
        </w:rPr>
        <w:t>execute</w:t>
      </w:r>
      <w:r w:rsidRPr="00F705DE">
        <w:rPr>
          <w:rFonts w:ascii="Arial" w:hAnsi="Arial" w:cs="Arial"/>
          <w:lang w:val="en-US"/>
        </w:rPr>
        <w:t xml:space="preserve"> buy-ins </w:t>
      </w:r>
      <w:r w:rsidR="008D6C7D" w:rsidRPr="00F705DE">
        <w:rPr>
          <w:rFonts w:ascii="Arial" w:hAnsi="Arial" w:cs="Arial"/>
          <w:lang w:val="en-US"/>
        </w:rPr>
        <w:t xml:space="preserve">on behalf of its participants </w:t>
      </w:r>
      <w:r w:rsidRPr="00F705DE">
        <w:rPr>
          <w:rFonts w:ascii="Arial" w:hAnsi="Arial" w:cs="Arial"/>
          <w:lang w:val="en-US"/>
        </w:rPr>
        <w:t xml:space="preserve">if </w:t>
      </w:r>
      <w:r w:rsidR="008D6C7D" w:rsidRPr="00F705DE">
        <w:rPr>
          <w:rFonts w:ascii="Arial" w:hAnsi="Arial" w:cs="Arial"/>
          <w:lang w:val="en-US"/>
        </w:rPr>
        <w:t>they</w:t>
      </w:r>
      <w:r w:rsidRPr="00F705DE">
        <w:rPr>
          <w:rFonts w:ascii="Arial" w:hAnsi="Arial" w:cs="Arial"/>
          <w:lang w:val="en-US"/>
        </w:rPr>
        <w:t xml:space="preserve"> do not deliver securities on time. The risk that a CSD might be liable to pay for the cost of buy-ins on participants' securities would increase </w:t>
      </w:r>
      <w:r w:rsidR="008D6C7D" w:rsidRPr="00F705DE">
        <w:rPr>
          <w:rFonts w:ascii="Arial" w:hAnsi="Arial" w:cs="Arial"/>
          <w:lang w:val="en-US"/>
        </w:rPr>
        <w:t>its</w:t>
      </w:r>
      <w:r w:rsidRPr="00F705DE">
        <w:rPr>
          <w:rFonts w:ascii="Arial" w:hAnsi="Arial" w:cs="Arial"/>
          <w:lang w:val="en-US"/>
        </w:rPr>
        <w:t xml:space="preserve"> risk profile and d</w:t>
      </w:r>
      <w:r w:rsidR="008D6C7D" w:rsidRPr="00F705DE">
        <w:rPr>
          <w:rFonts w:ascii="Arial" w:hAnsi="Arial" w:cs="Arial"/>
          <w:lang w:val="en-US"/>
        </w:rPr>
        <w:t>is-</w:t>
      </w:r>
      <w:proofErr w:type="spellStart"/>
      <w:r w:rsidR="008D6C7D" w:rsidRPr="00F705DE">
        <w:rPr>
          <w:rFonts w:ascii="Arial" w:hAnsi="Arial" w:cs="Arial"/>
          <w:lang w:val="en-US"/>
        </w:rPr>
        <w:t>incentivise</w:t>
      </w:r>
      <w:proofErr w:type="spellEnd"/>
      <w:r w:rsidR="008D6C7D" w:rsidRPr="00F705DE">
        <w:rPr>
          <w:rFonts w:ascii="Arial" w:hAnsi="Arial" w:cs="Arial"/>
          <w:lang w:val="en-US"/>
        </w:rPr>
        <w:t xml:space="preserve"> cross-CSD links.</w:t>
      </w:r>
    </w:p>
    <w:p w14:paraId="64CE247B" w14:textId="77777777" w:rsidR="00211680" w:rsidRPr="00DC54DF" w:rsidRDefault="00211680" w:rsidP="004D1F61">
      <w:pPr>
        <w:tabs>
          <w:tab w:val="left" w:pos="567"/>
        </w:tabs>
        <w:spacing w:after="0" w:line="360" w:lineRule="auto"/>
        <w:jc w:val="both"/>
        <w:rPr>
          <w:rFonts w:cs="Arial"/>
          <w:sz w:val="28"/>
          <w:szCs w:val="28"/>
          <w:lang w:val="en-US"/>
        </w:rPr>
      </w:pPr>
    </w:p>
    <w:p w14:paraId="535A61B1" w14:textId="77777777" w:rsidR="00211680" w:rsidRPr="00DC54DF" w:rsidRDefault="00211680" w:rsidP="004D1F61">
      <w:pPr>
        <w:shd w:val="clear" w:color="auto" w:fill="D9D9D9" w:themeFill="background1" w:themeFillShade="D9"/>
        <w:tabs>
          <w:tab w:val="left" w:pos="567"/>
        </w:tabs>
        <w:spacing w:after="0" w:line="360" w:lineRule="auto"/>
        <w:jc w:val="both"/>
        <w:rPr>
          <w:rFonts w:cs="Arial"/>
          <w:b/>
          <w:i/>
          <w:lang w:val="en-US"/>
        </w:rPr>
      </w:pPr>
      <w:r w:rsidRPr="00DC54DF">
        <w:rPr>
          <w:rFonts w:cs="Arial"/>
          <w:b/>
          <w:i/>
          <w:lang w:val="en-US"/>
        </w:rPr>
        <w:t>Q5: Please provide detailed quantitative evidence of the costs associated with the participant being fully responsible for the buy in process and on the methodology used to estimate these costs.</w:t>
      </w:r>
    </w:p>
    <w:p w14:paraId="4D62A96D" w14:textId="77777777" w:rsidR="00211680" w:rsidRPr="00DC54DF" w:rsidRDefault="00211680" w:rsidP="004D1F61">
      <w:pPr>
        <w:pStyle w:val="Akapitzlist"/>
        <w:tabs>
          <w:tab w:val="left" w:pos="567"/>
        </w:tabs>
        <w:spacing w:after="0" w:line="360" w:lineRule="auto"/>
        <w:jc w:val="both"/>
        <w:rPr>
          <w:rFonts w:cs="Arial"/>
          <w:lang w:val="en-US"/>
        </w:rPr>
      </w:pPr>
    </w:p>
    <w:p w14:paraId="5D0AAA8A" w14:textId="07D1644C" w:rsidR="00211680" w:rsidRPr="00F705DE" w:rsidRDefault="0017114B" w:rsidP="00586C3A">
      <w:pPr>
        <w:tabs>
          <w:tab w:val="left" w:pos="567"/>
        </w:tabs>
        <w:spacing w:after="0"/>
        <w:jc w:val="both"/>
        <w:rPr>
          <w:rFonts w:ascii="Arial" w:hAnsi="Arial" w:cs="Arial"/>
          <w:lang w:val="en-US"/>
        </w:rPr>
      </w:pPr>
      <w:r w:rsidRPr="00F705DE">
        <w:rPr>
          <w:rFonts w:ascii="Arial" w:hAnsi="Arial" w:cs="Arial"/>
          <w:lang w:val="en-US"/>
        </w:rPr>
        <w:t>KDPW</w:t>
      </w:r>
      <w:r w:rsidR="00211680" w:rsidRPr="00F705DE">
        <w:rPr>
          <w:rFonts w:ascii="Arial" w:hAnsi="Arial" w:cs="Arial"/>
          <w:lang w:val="en-US"/>
        </w:rPr>
        <w:t xml:space="preserve"> </w:t>
      </w:r>
      <w:r w:rsidR="003F4C93" w:rsidRPr="00F705DE">
        <w:rPr>
          <w:rFonts w:ascii="Arial" w:hAnsi="Arial" w:cs="Arial"/>
          <w:lang w:val="en-US"/>
        </w:rPr>
        <w:t xml:space="preserve">agrees with ESMA that this option might be the most costly because it would require CSD participants to fully </w:t>
      </w:r>
      <w:proofErr w:type="spellStart"/>
      <w:r w:rsidR="003F4C93" w:rsidRPr="00F705DE">
        <w:rPr>
          <w:rFonts w:ascii="Arial" w:hAnsi="Arial" w:cs="Arial"/>
          <w:lang w:val="en-US"/>
        </w:rPr>
        <w:t>collateralise</w:t>
      </w:r>
      <w:proofErr w:type="spellEnd"/>
      <w:r w:rsidR="003F4C93" w:rsidRPr="00F705DE">
        <w:rPr>
          <w:rFonts w:ascii="Arial" w:hAnsi="Arial" w:cs="Arial"/>
          <w:lang w:val="en-US"/>
        </w:rPr>
        <w:t xml:space="preserve"> settlement instructions, but we </w:t>
      </w:r>
      <w:r w:rsidR="00211680" w:rsidRPr="00F705DE">
        <w:rPr>
          <w:rFonts w:ascii="Arial" w:hAnsi="Arial" w:cs="Arial"/>
          <w:lang w:val="en-US"/>
        </w:rPr>
        <w:t xml:space="preserve">cannot estimate the costs incurred by CSD participants </w:t>
      </w:r>
      <w:r w:rsidR="008D6C7D" w:rsidRPr="00F705DE">
        <w:rPr>
          <w:rFonts w:ascii="Arial" w:hAnsi="Arial" w:cs="Arial"/>
          <w:lang w:val="en-US"/>
        </w:rPr>
        <w:t xml:space="preserve">in such a case </w:t>
      </w:r>
      <w:r w:rsidR="00211680" w:rsidRPr="00F705DE">
        <w:rPr>
          <w:rFonts w:ascii="Arial" w:hAnsi="Arial" w:cs="Arial"/>
          <w:lang w:val="en-US"/>
        </w:rPr>
        <w:t>and we believe that the</w:t>
      </w:r>
      <w:r w:rsidR="008D6C7D" w:rsidRPr="00F705DE">
        <w:rPr>
          <w:rFonts w:ascii="Arial" w:hAnsi="Arial" w:cs="Arial"/>
          <w:lang w:val="en-US"/>
        </w:rPr>
        <w:t>y</w:t>
      </w:r>
      <w:r w:rsidR="00211680" w:rsidRPr="00F705DE">
        <w:rPr>
          <w:rFonts w:ascii="Arial" w:hAnsi="Arial" w:cs="Arial"/>
          <w:lang w:val="en-US"/>
        </w:rPr>
        <w:t xml:space="preserve"> are best </w:t>
      </w:r>
      <w:r w:rsidR="003F4C93" w:rsidRPr="00F705DE">
        <w:rPr>
          <w:rFonts w:ascii="Arial" w:hAnsi="Arial" w:cs="Arial"/>
          <w:lang w:val="en-US"/>
        </w:rPr>
        <w:t>placed to answer this question.</w:t>
      </w:r>
    </w:p>
    <w:p w14:paraId="1CED6D39" w14:textId="77777777" w:rsidR="00211680" w:rsidRPr="00F705DE" w:rsidRDefault="00211680" w:rsidP="004D1F61">
      <w:pPr>
        <w:tabs>
          <w:tab w:val="left" w:pos="567"/>
        </w:tabs>
        <w:spacing w:after="0" w:line="360" w:lineRule="auto"/>
        <w:jc w:val="both"/>
        <w:rPr>
          <w:rFonts w:ascii="Arial" w:hAnsi="Arial" w:cs="Arial"/>
          <w:highlight w:val="yellow"/>
          <w:lang w:val="en-US"/>
        </w:rPr>
      </w:pPr>
    </w:p>
    <w:p w14:paraId="5B83EF9C" w14:textId="77777777" w:rsidR="00211680" w:rsidRPr="00F705DE" w:rsidRDefault="00211680" w:rsidP="004D1F61">
      <w:pPr>
        <w:pStyle w:val="Nagwek1"/>
        <w:numPr>
          <w:ilvl w:val="0"/>
          <w:numId w:val="16"/>
        </w:numPr>
        <w:ind w:left="567" w:hanging="567"/>
      </w:pPr>
      <w:r w:rsidRPr="00F705DE">
        <w:t>Comments on the draft technical standards (Annex 2)</w:t>
      </w:r>
    </w:p>
    <w:p w14:paraId="6F8C0D95" w14:textId="77777777" w:rsidR="00211680" w:rsidRPr="00F705DE" w:rsidRDefault="00211680" w:rsidP="004D1F61">
      <w:pPr>
        <w:tabs>
          <w:tab w:val="left" w:pos="567"/>
        </w:tabs>
        <w:spacing w:after="0" w:line="360" w:lineRule="auto"/>
        <w:jc w:val="both"/>
        <w:rPr>
          <w:rFonts w:ascii="Arial" w:hAnsi="Arial" w:cs="Arial"/>
          <w:highlight w:val="yellow"/>
          <w:lang w:val="en-US"/>
        </w:rPr>
      </w:pPr>
    </w:p>
    <w:p w14:paraId="0165E23E" w14:textId="77777777" w:rsidR="00C4513B" w:rsidRPr="00F705DE" w:rsidRDefault="003F4C93" w:rsidP="00C4513B">
      <w:pPr>
        <w:pStyle w:val="Akapitzlist"/>
        <w:numPr>
          <w:ilvl w:val="0"/>
          <w:numId w:val="20"/>
        </w:numPr>
        <w:spacing w:after="0"/>
        <w:jc w:val="both"/>
        <w:rPr>
          <w:rFonts w:ascii="Arial" w:hAnsi="Arial" w:cs="Arial"/>
          <w:b/>
          <w:lang w:val="en-US"/>
        </w:rPr>
      </w:pPr>
      <w:r w:rsidRPr="00F705DE">
        <w:rPr>
          <w:rFonts w:ascii="Arial" w:hAnsi="Arial" w:cs="Arial"/>
          <w:b/>
        </w:rPr>
        <w:t xml:space="preserve">Art.12 (1) </w:t>
      </w:r>
    </w:p>
    <w:p w14:paraId="3F6DFB8F" w14:textId="77777777" w:rsidR="00F705DE" w:rsidRDefault="00F705DE" w:rsidP="00C4513B">
      <w:pPr>
        <w:spacing w:after="0"/>
        <w:jc w:val="both"/>
        <w:rPr>
          <w:rFonts w:ascii="Arial" w:hAnsi="Arial" w:cs="Arial"/>
          <w:lang w:val="en-US"/>
        </w:rPr>
      </w:pPr>
    </w:p>
    <w:p w14:paraId="7F9ADB05" w14:textId="5793D12A" w:rsidR="003F4C93" w:rsidRPr="00F705DE" w:rsidRDefault="00C4513B" w:rsidP="00C4513B">
      <w:pPr>
        <w:spacing w:after="0"/>
        <w:jc w:val="both"/>
        <w:rPr>
          <w:rFonts w:ascii="Arial" w:hAnsi="Arial" w:cs="Arial"/>
          <w:lang w:val="en-US"/>
        </w:rPr>
      </w:pPr>
      <w:r w:rsidRPr="00F705DE">
        <w:rPr>
          <w:rFonts w:ascii="Arial" w:hAnsi="Arial" w:cs="Arial"/>
          <w:lang w:val="en-US"/>
        </w:rPr>
        <w:t>In our opinion the</w:t>
      </w:r>
      <w:r w:rsidR="003F4C93" w:rsidRPr="00F705DE">
        <w:rPr>
          <w:rFonts w:ascii="Arial" w:hAnsi="Arial" w:cs="Arial"/>
          <w:lang w:val="en-US"/>
        </w:rPr>
        <w:t xml:space="preserve"> buy-in</w:t>
      </w:r>
      <w:r w:rsidRPr="00F705DE">
        <w:rPr>
          <w:rFonts w:ascii="Arial" w:hAnsi="Arial" w:cs="Arial"/>
          <w:lang w:val="en-US"/>
        </w:rPr>
        <w:t xml:space="preserve"> proces</w:t>
      </w:r>
      <w:r w:rsidR="001E4977" w:rsidRPr="00F705DE">
        <w:rPr>
          <w:rFonts w:ascii="Arial" w:hAnsi="Arial" w:cs="Arial"/>
          <w:lang w:val="en-US"/>
        </w:rPr>
        <w:t>s</w:t>
      </w:r>
      <w:r w:rsidRPr="00F705DE">
        <w:rPr>
          <w:rFonts w:ascii="Arial" w:hAnsi="Arial" w:cs="Arial"/>
          <w:lang w:val="en-US"/>
        </w:rPr>
        <w:t xml:space="preserve"> should be</w:t>
      </w:r>
      <w:r w:rsidR="003F4C93" w:rsidRPr="00F705DE">
        <w:rPr>
          <w:rFonts w:ascii="Arial" w:hAnsi="Arial" w:cs="Arial"/>
          <w:lang w:val="en-US"/>
        </w:rPr>
        <w:t xml:space="preserve"> ini</w:t>
      </w:r>
      <w:r w:rsidRPr="00F705DE">
        <w:rPr>
          <w:rFonts w:ascii="Arial" w:hAnsi="Arial" w:cs="Arial"/>
          <w:lang w:val="en-US"/>
        </w:rPr>
        <w:t>tiated</w:t>
      </w:r>
      <w:r w:rsidR="003F4C93" w:rsidRPr="00F705DE">
        <w:rPr>
          <w:rFonts w:ascii="Arial" w:hAnsi="Arial" w:cs="Arial"/>
          <w:lang w:val="en-US"/>
        </w:rPr>
        <w:t xml:space="preserve"> </w:t>
      </w:r>
      <w:r w:rsidRPr="00F705DE">
        <w:rPr>
          <w:rFonts w:ascii="Arial" w:hAnsi="Arial" w:cs="Arial"/>
          <w:lang w:val="en-US"/>
        </w:rPr>
        <w:t xml:space="preserve">at the beginning of </w:t>
      </w:r>
      <w:r w:rsidR="001E4977" w:rsidRPr="00F705DE">
        <w:rPr>
          <w:rFonts w:ascii="Arial" w:hAnsi="Arial" w:cs="Arial"/>
          <w:lang w:val="en-US"/>
        </w:rPr>
        <w:t>the business day following the elapse of the</w:t>
      </w:r>
      <w:r w:rsidR="003F4C93" w:rsidRPr="00F705DE">
        <w:rPr>
          <w:rFonts w:ascii="Arial" w:hAnsi="Arial" w:cs="Arial"/>
          <w:lang w:val="en-US"/>
        </w:rPr>
        <w:t xml:space="preserve"> extension period</w:t>
      </w:r>
      <w:r w:rsidR="001E4977" w:rsidRPr="00F705DE">
        <w:rPr>
          <w:rFonts w:ascii="Arial" w:hAnsi="Arial" w:cs="Arial"/>
          <w:lang w:val="en-US"/>
        </w:rPr>
        <w:t>, rather than at the end of that</w:t>
      </w:r>
      <w:r w:rsidR="005B273F" w:rsidRPr="00F705DE">
        <w:rPr>
          <w:rFonts w:ascii="Arial" w:hAnsi="Arial" w:cs="Arial"/>
          <w:lang w:val="en-US"/>
        </w:rPr>
        <w:t xml:space="preserve"> day</w:t>
      </w:r>
      <w:r w:rsidR="003F4C93" w:rsidRPr="00F705DE">
        <w:rPr>
          <w:rFonts w:ascii="Arial" w:hAnsi="Arial" w:cs="Arial"/>
          <w:lang w:val="en-US"/>
        </w:rPr>
        <w:t>.</w:t>
      </w:r>
      <w:r w:rsidR="005B273F" w:rsidRPr="00F705DE">
        <w:rPr>
          <w:rFonts w:ascii="Arial" w:hAnsi="Arial" w:cs="Arial"/>
          <w:lang w:val="en-US"/>
        </w:rPr>
        <w:t xml:space="preserve"> Initiation of the buy-in at the end of the day would cause und</w:t>
      </w:r>
      <w:r w:rsidR="00727D1E" w:rsidRPr="00F705DE">
        <w:rPr>
          <w:rFonts w:ascii="Arial" w:hAnsi="Arial" w:cs="Arial"/>
          <w:lang w:val="en-US"/>
        </w:rPr>
        <w:t>ue</w:t>
      </w:r>
      <w:r w:rsidR="005B273F" w:rsidRPr="00F705DE">
        <w:rPr>
          <w:rFonts w:ascii="Arial" w:hAnsi="Arial" w:cs="Arial"/>
          <w:lang w:val="en-US"/>
        </w:rPr>
        <w:t xml:space="preserve"> delay </w:t>
      </w:r>
      <w:r w:rsidR="00727D1E" w:rsidRPr="00F705DE">
        <w:rPr>
          <w:rFonts w:ascii="Arial" w:hAnsi="Arial" w:cs="Arial"/>
          <w:lang w:val="en-US"/>
        </w:rPr>
        <w:t xml:space="preserve">of </w:t>
      </w:r>
      <w:r w:rsidR="005B273F" w:rsidRPr="00F705DE">
        <w:rPr>
          <w:rFonts w:ascii="Arial" w:hAnsi="Arial" w:cs="Arial"/>
          <w:lang w:val="en-US"/>
        </w:rPr>
        <w:t xml:space="preserve">the process, as </w:t>
      </w:r>
      <w:r w:rsidR="00727D1E" w:rsidRPr="00F705DE">
        <w:rPr>
          <w:rFonts w:ascii="Arial" w:hAnsi="Arial" w:cs="Arial"/>
          <w:lang w:val="en-US"/>
        </w:rPr>
        <w:t>its</w:t>
      </w:r>
      <w:r w:rsidR="005B273F" w:rsidRPr="00F705DE">
        <w:rPr>
          <w:rFonts w:ascii="Arial" w:hAnsi="Arial" w:cs="Arial"/>
          <w:lang w:val="en-US"/>
        </w:rPr>
        <w:t xml:space="preserve"> </w:t>
      </w:r>
      <w:r w:rsidR="00727D1E" w:rsidRPr="00F705DE">
        <w:rPr>
          <w:rFonts w:ascii="Arial" w:hAnsi="Arial" w:cs="Arial"/>
          <w:lang w:val="en-US"/>
        </w:rPr>
        <w:t>execution</w:t>
      </w:r>
      <w:r w:rsidR="005B273F" w:rsidRPr="00F705DE">
        <w:rPr>
          <w:rFonts w:ascii="Arial" w:hAnsi="Arial" w:cs="Arial"/>
          <w:lang w:val="en-US"/>
        </w:rPr>
        <w:t xml:space="preserve"> would, in practice, take place </w:t>
      </w:r>
      <w:r w:rsidR="00727D1E" w:rsidRPr="00F705DE">
        <w:rPr>
          <w:rFonts w:ascii="Arial" w:hAnsi="Arial" w:cs="Arial"/>
          <w:lang w:val="en-US"/>
        </w:rPr>
        <w:t xml:space="preserve">no sooner than </w:t>
      </w:r>
      <w:r w:rsidR="005B273F" w:rsidRPr="00F705DE">
        <w:rPr>
          <w:rFonts w:ascii="Arial" w:hAnsi="Arial" w:cs="Arial"/>
          <w:lang w:val="en-US"/>
        </w:rPr>
        <w:t>on the day following the buy-in initiation.</w:t>
      </w:r>
    </w:p>
    <w:p w14:paraId="207D6C83" w14:textId="77777777" w:rsidR="00C4513B" w:rsidRPr="00F705DE" w:rsidRDefault="00C4513B" w:rsidP="00C4513B">
      <w:pPr>
        <w:spacing w:after="0"/>
        <w:jc w:val="both"/>
        <w:rPr>
          <w:rFonts w:ascii="Arial" w:hAnsi="Arial" w:cs="Arial"/>
          <w:lang w:val="en-US"/>
        </w:rPr>
      </w:pPr>
    </w:p>
    <w:p w14:paraId="3B683582" w14:textId="77777777" w:rsidR="00C4513B" w:rsidRPr="00F705DE" w:rsidRDefault="003F4C93" w:rsidP="00C4513B">
      <w:pPr>
        <w:pStyle w:val="Akapitzlist"/>
        <w:numPr>
          <w:ilvl w:val="0"/>
          <w:numId w:val="20"/>
        </w:numPr>
        <w:spacing w:after="0"/>
        <w:jc w:val="both"/>
        <w:rPr>
          <w:rFonts w:ascii="Arial" w:hAnsi="Arial" w:cs="Arial"/>
          <w:b/>
        </w:rPr>
      </w:pPr>
      <w:r w:rsidRPr="00F705DE">
        <w:rPr>
          <w:rFonts w:ascii="Arial" w:hAnsi="Arial" w:cs="Arial"/>
          <w:b/>
        </w:rPr>
        <w:t xml:space="preserve">Art. </w:t>
      </w:r>
      <w:r w:rsidR="00C4513B" w:rsidRPr="00F705DE">
        <w:rPr>
          <w:rFonts w:ascii="Arial" w:hAnsi="Arial" w:cs="Arial"/>
          <w:b/>
        </w:rPr>
        <w:t>14 (5)</w:t>
      </w:r>
    </w:p>
    <w:p w14:paraId="79586B2C" w14:textId="77777777" w:rsidR="00F705DE" w:rsidRDefault="00F705DE" w:rsidP="00C4513B">
      <w:pPr>
        <w:spacing w:after="0"/>
        <w:jc w:val="both"/>
        <w:rPr>
          <w:rFonts w:ascii="Arial" w:hAnsi="Arial" w:cs="Arial"/>
          <w:lang w:val="en-US"/>
        </w:rPr>
      </w:pPr>
    </w:p>
    <w:p w14:paraId="0C80C098" w14:textId="2E3FF20B" w:rsidR="00C4513B" w:rsidRPr="00F705DE" w:rsidRDefault="00F253EF" w:rsidP="00C4513B">
      <w:pPr>
        <w:spacing w:after="0"/>
        <w:jc w:val="both"/>
        <w:rPr>
          <w:rFonts w:ascii="Arial" w:hAnsi="Arial" w:cs="Arial"/>
          <w:lang w:val="en-US"/>
        </w:rPr>
      </w:pPr>
      <w:r w:rsidRPr="00F705DE">
        <w:rPr>
          <w:rFonts w:ascii="Arial" w:hAnsi="Arial" w:cs="Arial"/>
          <w:lang w:val="en-US"/>
        </w:rPr>
        <w:t>KDPW would like to point out, that the proposal presented by ESMA does not specify</w:t>
      </w:r>
      <w:r w:rsidR="009412AC" w:rsidRPr="00F705DE">
        <w:rPr>
          <w:rFonts w:ascii="Arial" w:hAnsi="Arial" w:cs="Arial"/>
          <w:lang w:val="en-US"/>
        </w:rPr>
        <w:t xml:space="preserve"> </w:t>
      </w:r>
      <w:r w:rsidRPr="00F705DE">
        <w:rPr>
          <w:rFonts w:ascii="Arial" w:hAnsi="Arial" w:cs="Arial"/>
          <w:lang w:val="en-US"/>
        </w:rPr>
        <w:t xml:space="preserve">how </w:t>
      </w:r>
      <w:r w:rsidR="001506EC" w:rsidRPr="00F705DE">
        <w:rPr>
          <w:rFonts w:ascii="Arial" w:hAnsi="Arial" w:cs="Arial"/>
          <w:lang w:val="en-US"/>
        </w:rPr>
        <w:t>to ensure the applicability of this requirement in practice</w:t>
      </w:r>
      <w:r w:rsidR="009412AC" w:rsidRPr="00F705DE">
        <w:rPr>
          <w:rFonts w:ascii="Arial" w:hAnsi="Arial" w:cs="Arial"/>
          <w:lang w:val="en-US"/>
        </w:rPr>
        <w:t xml:space="preserve">. </w:t>
      </w:r>
      <w:r w:rsidR="001506EC" w:rsidRPr="00F705DE">
        <w:rPr>
          <w:rFonts w:ascii="Arial" w:hAnsi="Arial" w:cs="Arial"/>
          <w:lang w:val="en-US"/>
        </w:rPr>
        <w:t>In our</w:t>
      </w:r>
      <w:r w:rsidR="009412AC" w:rsidRPr="00F705DE">
        <w:rPr>
          <w:rFonts w:ascii="Arial" w:hAnsi="Arial" w:cs="Arial"/>
          <w:lang w:val="en-US"/>
        </w:rPr>
        <w:t xml:space="preserve"> opini</w:t>
      </w:r>
      <w:r w:rsidR="001506EC" w:rsidRPr="00F705DE">
        <w:rPr>
          <w:rFonts w:ascii="Arial" w:hAnsi="Arial" w:cs="Arial"/>
          <w:lang w:val="en-US"/>
        </w:rPr>
        <w:t>on the initiation of the</w:t>
      </w:r>
      <w:r w:rsidR="009412AC" w:rsidRPr="00F705DE">
        <w:rPr>
          <w:rFonts w:ascii="Arial" w:hAnsi="Arial" w:cs="Arial"/>
          <w:lang w:val="en-US"/>
        </w:rPr>
        <w:t xml:space="preserve"> buy-in p</w:t>
      </w:r>
      <w:r w:rsidR="001506EC" w:rsidRPr="00F705DE">
        <w:rPr>
          <w:rFonts w:ascii="Arial" w:hAnsi="Arial" w:cs="Arial"/>
          <w:lang w:val="en-US"/>
        </w:rPr>
        <w:t>r</w:t>
      </w:r>
      <w:r w:rsidR="009412AC" w:rsidRPr="00F705DE">
        <w:rPr>
          <w:rFonts w:ascii="Arial" w:hAnsi="Arial" w:cs="Arial"/>
          <w:lang w:val="en-US"/>
        </w:rPr>
        <w:t>o</w:t>
      </w:r>
      <w:r w:rsidR="001506EC" w:rsidRPr="00F705DE">
        <w:rPr>
          <w:rFonts w:ascii="Arial" w:hAnsi="Arial" w:cs="Arial"/>
          <w:lang w:val="en-US"/>
        </w:rPr>
        <w:t>cedure should trigger blocking/holding of the</w:t>
      </w:r>
      <w:r w:rsidR="009412AC" w:rsidRPr="00F705DE">
        <w:rPr>
          <w:rFonts w:ascii="Arial" w:hAnsi="Arial" w:cs="Arial"/>
          <w:lang w:val="en-US"/>
        </w:rPr>
        <w:t xml:space="preserve"> failed </w:t>
      </w:r>
      <w:r w:rsidR="001506EC" w:rsidRPr="00F705DE">
        <w:rPr>
          <w:rFonts w:ascii="Arial" w:hAnsi="Arial" w:cs="Arial"/>
          <w:lang w:val="en-US"/>
        </w:rPr>
        <w:t xml:space="preserve">settlement </w:t>
      </w:r>
      <w:r w:rsidR="009412AC" w:rsidRPr="00F705DE">
        <w:rPr>
          <w:rFonts w:ascii="Arial" w:hAnsi="Arial" w:cs="Arial"/>
          <w:lang w:val="en-US"/>
        </w:rPr>
        <w:t>instruction</w:t>
      </w:r>
      <w:r w:rsidR="001506EC" w:rsidRPr="00F705DE">
        <w:rPr>
          <w:rFonts w:ascii="Arial" w:hAnsi="Arial" w:cs="Arial"/>
          <w:lang w:val="en-US"/>
        </w:rPr>
        <w:t xml:space="preserve"> in the CSD system</w:t>
      </w:r>
      <w:r w:rsidR="009412AC" w:rsidRPr="00F705DE">
        <w:rPr>
          <w:rFonts w:ascii="Arial" w:hAnsi="Arial" w:cs="Arial"/>
          <w:lang w:val="en-US"/>
        </w:rPr>
        <w:t xml:space="preserve">. </w:t>
      </w:r>
      <w:r w:rsidR="001506EC" w:rsidRPr="00F705DE">
        <w:rPr>
          <w:rFonts w:ascii="Arial" w:hAnsi="Arial" w:cs="Arial"/>
          <w:lang w:val="en-US"/>
        </w:rPr>
        <w:t>This would prevent the risk of double delivery, when settlement</w:t>
      </w:r>
      <w:r w:rsidR="009412AC" w:rsidRPr="00F705DE">
        <w:rPr>
          <w:rFonts w:ascii="Arial" w:hAnsi="Arial" w:cs="Arial"/>
          <w:lang w:val="en-US"/>
        </w:rPr>
        <w:t xml:space="preserve"> </w:t>
      </w:r>
      <w:r w:rsidR="001506EC" w:rsidRPr="00F705DE">
        <w:rPr>
          <w:rFonts w:ascii="Arial" w:hAnsi="Arial" w:cs="Arial"/>
          <w:lang w:val="en-US"/>
        </w:rPr>
        <w:t>of the failed instruction would be effected in parallel with the delivery of securities resulting from the buy-in process</w:t>
      </w:r>
      <w:r w:rsidR="009412AC" w:rsidRPr="00F705DE">
        <w:rPr>
          <w:rFonts w:ascii="Arial" w:hAnsi="Arial" w:cs="Arial"/>
          <w:lang w:val="en-US"/>
        </w:rPr>
        <w:t xml:space="preserve">. </w:t>
      </w:r>
    </w:p>
    <w:p w14:paraId="64986796" w14:textId="77777777" w:rsidR="00C4513B" w:rsidRPr="00F705DE" w:rsidRDefault="00C4513B" w:rsidP="00C4513B">
      <w:pPr>
        <w:pStyle w:val="Akapitzlist"/>
        <w:rPr>
          <w:rFonts w:ascii="Arial" w:hAnsi="Arial" w:cs="Arial"/>
          <w:lang w:val="en-US"/>
        </w:rPr>
      </w:pPr>
    </w:p>
    <w:p w14:paraId="0209E8E1" w14:textId="77777777" w:rsidR="00C4513B" w:rsidRPr="00F705DE" w:rsidRDefault="003F4C93" w:rsidP="00C4513B">
      <w:pPr>
        <w:pStyle w:val="Akapitzlist"/>
        <w:numPr>
          <w:ilvl w:val="0"/>
          <w:numId w:val="20"/>
        </w:numPr>
        <w:spacing w:after="0"/>
        <w:jc w:val="both"/>
        <w:rPr>
          <w:rFonts w:ascii="Arial" w:hAnsi="Arial" w:cs="Arial"/>
          <w:b/>
          <w:lang w:val="en-US"/>
        </w:rPr>
      </w:pPr>
      <w:r w:rsidRPr="00F705DE">
        <w:rPr>
          <w:rFonts w:ascii="Arial" w:hAnsi="Arial" w:cs="Arial"/>
          <w:b/>
          <w:lang w:val="en-US"/>
        </w:rPr>
        <w:t>Art.16</w:t>
      </w:r>
    </w:p>
    <w:p w14:paraId="50146919" w14:textId="77777777" w:rsidR="00F705DE" w:rsidRDefault="00F705DE" w:rsidP="00C4513B">
      <w:pPr>
        <w:spacing w:after="0"/>
        <w:jc w:val="both"/>
        <w:rPr>
          <w:rFonts w:ascii="Arial" w:hAnsi="Arial" w:cs="Arial"/>
          <w:lang w:val="en-US"/>
        </w:rPr>
      </w:pPr>
    </w:p>
    <w:p w14:paraId="4285F179" w14:textId="0FC29452" w:rsidR="00C4513B" w:rsidRPr="00F705DE" w:rsidRDefault="00C4513B" w:rsidP="00C4513B">
      <w:pPr>
        <w:spacing w:after="0"/>
        <w:jc w:val="both"/>
        <w:rPr>
          <w:rFonts w:ascii="Arial" w:hAnsi="Arial" w:cs="Arial"/>
          <w:lang w:val="en-US"/>
        </w:rPr>
      </w:pPr>
      <w:r w:rsidRPr="00F705DE">
        <w:rPr>
          <w:rFonts w:ascii="Arial" w:hAnsi="Arial" w:cs="Arial"/>
          <w:lang w:val="en-US"/>
        </w:rPr>
        <w:t>KDPW</w:t>
      </w:r>
      <w:r w:rsidR="003F4C93" w:rsidRPr="00F705DE">
        <w:rPr>
          <w:rFonts w:ascii="Arial" w:hAnsi="Arial" w:cs="Arial"/>
          <w:lang w:val="en-US"/>
        </w:rPr>
        <w:t xml:space="preserve"> suggest</w:t>
      </w:r>
      <w:r w:rsidRPr="00F705DE">
        <w:rPr>
          <w:rFonts w:ascii="Arial" w:hAnsi="Arial" w:cs="Arial"/>
          <w:lang w:val="en-US"/>
        </w:rPr>
        <w:t>s</w:t>
      </w:r>
      <w:r w:rsidR="003F4C93" w:rsidRPr="00F705DE">
        <w:rPr>
          <w:rFonts w:ascii="Arial" w:hAnsi="Arial" w:cs="Arial"/>
          <w:lang w:val="en-US"/>
        </w:rPr>
        <w:t xml:space="preserve"> deleting article 16</w:t>
      </w:r>
      <w:r w:rsidR="00AA18A6">
        <w:rPr>
          <w:rFonts w:ascii="Arial" w:hAnsi="Arial" w:cs="Arial"/>
          <w:lang w:val="en-US"/>
        </w:rPr>
        <w:t>, as well as recital 8</w:t>
      </w:r>
      <w:bookmarkStart w:id="0" w:name="_GoBack"/>
      <w:bookmarkEnd w:id="0"/>
      <w:r w:rsidR="009412AC" w:rsidRPr="00F705DE">
        <w:rPr>
          <w:rFonts w:ascii="Arial" w:hAnsi="Arial" w:cs="Arial"/>
          <w:lang w:val="en-US"/>
        </w:rPr>
        <w:t>.</w:t>
      </w:r>
      <w:r w:rsidR="003F4C93" w:rsidRPr="00F705DE">
        <w:rPr>
          <w:rFonts w:ascii="Arial" w:hAnsi="Arial" w:cs="Arial"/>
          <w:lang w:val="en-US"/>
        </w:rPr>
        <w:t xml:space="preserve"> </w:t>
      </w:r>
    </w:p>
    <w:p w14:paraId="3A10D680" w14:textId="77777777" w:rsidR="00F705DE" w:rsidRDefault="00F705DE" w:rsidP="00C4513B">
      <w:pPr>
        <w:spacing w:after="0"/>
        <w:jc w:val="both"/>
        <w:rPr>
          <w:rFonts w:ascii="Arial" w:hAnsi="Arial" w:cs="Arial"/>
          <w:lang w:val="en-US"/>
        </w:rPr>
      </w:pPr>
    </w:p>
    <w:p w14:paraId="27716E81" w14:textId="77777777" w:rsidR="00C4513B" w:rsidRPr="00F705DE" w:rsidRDefault="003F4C93" w:rsidP="00C4513B">
      <w:pPr>
        <w:spacing w:after="0"/>
        <w:jc w:val="both"/>
        <w:rPr>
          <w:rFonts w:ascii="Arial" w:hAnsi="Arial" w:cs="Arial"/>
          <w:lang w:val="en-US"/>
        </w:rPr>
      </w:pPr>
      <w:r w:rsidRPr="00F705DE">
        <w:rPr>
          <w:rFonts w:ascii="Arial" w:hAnsi="Arial" w:cs="Arial"/>
          <w:lang w:val="en-US"/>
        </w:rPr>
        <w:t xml:space="preserve">For legal and technical reasons, </w:t>
      </w:r>
      <w:r w:rsidR="009412AC" w:rsidRPr="00F705DE">
        <w:rPr>
          <w:rFonts w:ascii="Arial" w:hAnsi="Arial" w:cs="Arial"/>
          <w:lang w:val="en-US"/>
        </w:rPr>
        <w:t xml:space="preserve">a </w:t>
      </w:r>
      <w:r w:rsidRPr="00F705DE">
        <w:rPr>
          <w:rFonts w:ascii="Arial" w:hAnsi="Arial" w:cs="Arial"/>
          <w:lang w:val="en-US"/>
        </w:rPr>
        <w:t xml:space="preserve">CSD may not have the authority to force a partial, where a participant has not consented, nor have the operational ability to amend the failing instruction to activate a partial. </w:t>
      </w:r>
      <w:r w:rsidR="009412AC" w:rsidRPr="00F705DE">
        <w:rPr>
          <w:rFonts w:ascii="Arial" w:hAnsi="Arial" w:cs="Arial"/>
          <w:lang w:val="en-US"/>
        </w:rPr>
        <w:t xml:space="preserve">For example the KDPW system </w:t>
      </w:r>
      <w:r w:rsidR="00211680" w:rsidRPr="00F705DE">
        <w:rPr>
          <w:rFonts w:ascii="Arial" w:hAnsi="Arial" w:cs="Arial"/>
          <w:lang w:val="en-US"/>
        </w:rPr>
        <w:t>currently do</w:t>
      </w:r>
      <w:r w:rsidR="009412AC" w:rsidRPr="00F705DE">
        <w:rPr>
          <w:rFonts w:ascii="Arial" w:hAnsi="Arial" w:cs="Arial"/>
          <w:lang w:val="en-US"/>
        </w:rPr>
        <w:t>es</w:t>
      </w:r>
      <w:r w:rsidR="00211680" w:rsidRPr="00F705DE">
        <w:rPr>
          <w:rFonts w:ascii="Arial" w:hAnsi="Arial" w:cs="Arial"/>
          <w:lang w:val="en-US"/>
        </w:rPr>
        <w:t xml:space="preserve"> not make it possible for the CSD to amend the partial settlement indicator </w:t>
      </w:r>
      <w:r w:rsidR="009412AC" w:rsidRPr="00F705DE">
        <w:rPr>
          <w:rFonts w:ascii="Arial" w:hAnsi="Arial" w:cs="Arial"/>
          <w:lang w:val="en-US"/>
        </w:rPr>
        <w:t>i</w:t>
      </w:r>
      <w:r w:rsidR="00211680" w:rsidRPr="00F705DE">
        <w:rPr>
          <w:rFonts w:ascii="Arial" w:hAnsi="Arial" w:cs="Arial"/>
          <w:lang w:val="en-US"/>
        </w:rPr>
        <w:t xml:space="preserve">n an instruction. If a CSD participant does not opt for partial settlement, mandatory partial settlement in the case of buy-ins would force the CSD to create an amendment message to change the partial settlement indicator, thereby intervening in participants' transactions flows. </w:t>
      </w:r>
      <w:r w:rsidR="00DA6688" w:rsidRPr="00F705DE">
        <w:rPr>
          <w:rFonts w:ascii="Arial" w:hAnsi="Arial" w:cs="Arial"/>
          <w:lang w:val="en-US"/>
        </w:rPr>
        <w:t>Besides, the participan</w:t>
      </w:r>
      <w:r w:rsidR="00C4513B" w:rsidRPr="00F705DE">
        <w:rPr>
          <w:rFonts w:ascii="Arial" w:hAnsi="Arial" w:cs="Arial"/>
          <w:lang w:val="en-US"/>
        </w:rPr>
        <w:t>t</w:t>
      </w:r>
      <w:r w:rsidR="00DA6688" w:rsidRPr="00F705DE">
        <w:rPr>
          <w:rFonts w:ascii="Arial" w:hAnsi="Arial" w:cs="Arial"/>
          <w:lang w:val="en-US"/>
        </w:rPr>
        <w:t>’s decision to opt-out from partial settlement might be taken</w:t>
      </w:r>
      <w:r w:rsidR="00C4513B" w:rsidRPr="00F705DE">
        <w:rPr>
          <w:rFonts w:ascii="Arial" w:hAnsi="Arial" w:cs="Arial"/>
          <w:lang w:val="en-US"/>
        </w:rPr>
        <w:t xml:space="preserve"> in order</w:t>
      </w:r>
      <w:r w:rsidR="00DA6688" w:rsidRPr="00F705DE">
        <w:rPr>
          <w:rFonts w:ascii="Arial" w:hAnsi="Arial" w:cs="Arial"/>
          <w:lang w:val="en-US"/>
        </w:rPr>
        <w:t xml:space="preserve"> to avoid the settlement of the failed </w:t>
      </w:r>
      <w:r w:rsidR="00DA6688" w:rsidRPr="00F705DE">
        <w:rPr>
          <w:rFonts w:ascii="Arial" w:hAnsi="Arial" w:cs="Arial"/>
          <w:lang w:val="en-US"/>
        </w:rPr>
        <w:lastRenderedPageBreak/>
        <w:t xml:space="preserve">transaction </w:t>
      </w:r>
      <w:r w:rsidR="00C4513B" w:rsidRPr="00F705DE">
        <w:rPr>
          <w:rFonts w:ascii="Arial" w:hAnsi="Arial" w:cs="Arial"/>
          <w:lang w:val="en-US"/>
        </w:rPr>
        <w:t xml:space="preserve">of a client </w:t>
      </w:r>
      <w:r w:rsidR="00DA6688" w:rsidRPr="00F705DE">
        <w:rPr>
          <w:rFonts w:ascii="Arial" w:hAnsi="Arial" w:cs="Arial"/>
          <w:lang w:val="en-US"/>
        </w:rPr>
        <w:t xml:space="preserve">using securities of other clients, deposited on the same collective clients’ account of the CSD participant (taking securities from the pool). </w:t>
      </w:r>
    </w:p>
    <w:p w14:paraId="3301ADFD" w14:textId="77777777" w:rsidR="00F705DE" w:rsidRDefault="00F705DE" w:rsidP="00C4513B">
      <w:pPr>
        <w:spacing w:after="0"/>
        <w:jc w:val="both"/>
        <w:rPr>
          <w:rFonts w:ascii="Arial" w:hAnsi="Arial" w:cs="Arial"/>
          <w:lang w:val="en-US"/>
        </w:rPr>
      </w:pPr>
    </w:p>
    <w:p w14:paraId="62F0D7E2" w14:textId="2F17558D" w:rsidR="00666E14" w:rsidRPr="00F705DE" w:rsidRDefault="00DA6688" w:rsidP="00C4513B">
      <w:pPr>
        <w:spacing w:after="0"/>
        <w:jc w:val="both"/>
        <w:rPr>
          <w:rFonts w:ascii="Arial" w:hAnsi="Arial" w:cs="Arial"/>
          <w:lang w:val="en-US"/>
        </w:rPr>
      </w:pPr>
      <w:r w:rsidRPr="00F705DE">
        <w:rPr>
          <w:rFonts w:ascii="Arial" w:hAnsi="Arial" w:cs="Arial"/>
          <w:lang w:val="en-US"/>
        </w:rPr>
        <w:t>Taking into account the</w:t>
      </w:r>
      <w:r w:rsidR="00C4513B" w:rsidRPr="00F705DE">
        <w:rPr>
          <w:rFonts w:ascii="Arial" w:hAnsi="Arial" w:cs="Arial"/>
          <w:lang w:val="en-US"/>
        </w:rPr>
        <w:t xml:space="preserve"> above</w:t>
      </w:r>
      <w:r w:rsidRPr="00F705DE">
        <w:rPr>
          <w:rFonts w:ascii="Arial" w:hAnsi="Arial" w:cs="Arial"/>
          <w:lang w:val="en-US"/>
        </w:rPr>
        <w:t xml:space="preserve"> arguments</w:t>
      </w:r>
      <w:r w:rsidR="00211680" w:rsidRPr="00F705DE">
        <w:rPr>
          <w:rFonts w:ascii="Arial" w:hAnsi="Arial" w:cs="Arial"/>
          <w:lang w:val="en-US"/>
        </w:rPr>
        <w:t xml:space="preserve">, </w:t>
      </w:r>
      <w:r w:rsidR="00EA1821" w:rsidRPr="00F705DE">
        <w:rPr>
          <w:rFonts w:ascii="Arial" w:hAnsi="Arial" w:cs="Arial"/>
          <w:lang w:val="en-US"/>
        </w:rPr>
        <w:t>KDPW</w:t>
      </w:r>
      <w:r w:rsidR="009412AC" w:rsidRPr="00F705DE">
        <w:rPr>
          <w:rFonts w:ascii="Arial" w:hAnsi="Arial" w:cs="Arial"/>
          <w:lang w:val="en-US"/>
        </w:rPr>
        <w:t xml:space="preserve"> </w:t>
      </w:r>
      <w:r w:rsidR="00211680" w:rsidRPr="00F705DE">
        <w:rPr>
          <w:rFonts w:ascii="Arial" w:hAnsi="Arial" w:cs="Arial"/>
          <w:lang w:val="en-US"/>
        </w:rPr>
        <w:t xml:space="preserve">is </w:t>
      </w:r>
      <w:r w:rsidR="009412AC" w:rsidRPr="00F705DE">
        <w:rPr>
          <w:rFonts w:ascii="Arial" w:hAnsi="Arial" w:cs="Arial"/>
          <w:lang w:val="en-US"/>
        </w:rPr>
        <w:t>against</w:t>
      </w:r>
      <w:r w:rsidR="00211680" w:rsidRPr="00F705DE">
        <w:rPr>
          <w:rFonts w:ascii="Arial" w:hAnsi="Arial" w:cs="Arial"/>
          <w:lang w:val="en-US"/>
        </w:rPr>
        <w:t xml:space="preserve"> imposing partial settlement irrespective of any contractual choice made by CSD participants, and we believe that participants will have an incentive to opt for partial settlement if they wish t</w:t>
      </w:r>
      <w:r w:rsidRPr="00F705DE">
        <w:rPr>
          <w:rFonts w:ascii="Arial" w:hAnsi="Arial" w:cs="Arial"/>
          <w:lang w:val="en-US"/>
        </w:rPr>
        <w:t xml:space="preserve">o </w:t>
      </w:r>
      <w:proofErr w:type="spellStart"/>
      <w:r w:rsidRPr="00F705DE">
        <w:rPr>
          <w:rFonts w:ascii="Arial" w:hAnsi="Arial" w:cs="Arial"/>
          <w:lang w:val="en-US"/>
        </w:rPr>
        <w:t>minimise</w:t>
      </w:r>
      <w:proofErr w:type="spellEnd"/>
      <w:r w:rsidRPr="00F705DE">
        <w:rPr>
          <w:rFonts w:ascii="Arial" w:hAnsi="Arial" w:cs="Arial"/>
          <w:lang w:val="en-US"/>
        </w:rPr>
        <w:t xml:space="preserve"> the need for buy-ins.</w:t>
      </w:r>
    </w:p>
    <w:sectPr w:rsidR="00666E14" w:rsidRPr="00F705D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2AF2C" w14:textId="77777777" w:rsidR="00E0307C" w:rsidRDefault="00E0307C" w:rsidP="001E5AC1">
      <w:pPr>
        <w:spacing w:after="0" w:line="240" w:lineRule="auto"/>
      </w:pPr>
      <w:r>
        <w:separator/>
      </w:r>
    </w:p>
  </w:endnote>
  <w:endnote w:type="continuationSeparator" w:id="0">
    <w:p w14:paraId="7F72AF2D" w14:textId="77777777" w:rsidR="00E0307C" w:rsidRDefault="00E0307C" w:rsidP="001E5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556981"/>
      <w:docPartObj>
        <w:docPartGallery w:val="Page Numbers (Bottom of Page)"/>
        <w:docPartUnique/>
      </w:docPartObj>
    </w:sdtPr>
    <w:sdtEndPr/>
    <w:sdtContent>
      <w:p w14:paraId="7F72AF2E" w14:textId="77777777" w:rsidR="001E5AC1" w:rsidRDefault="001E5AC1">
        <w:pPr>
          <w:pStyle w:val="Stopka"/>
          <w:jc w:val="center"/>
        </w:pPr>
        <w:r>
          <w:fldChar w:fldCharType="begin"/>
        </w:r>
        <w:r>
          <w:instrText>PAGE   \* MERGEFORMAT</w:instrText>
        </w:r>
        <w:r>
          <w:fldChar w:fldCharType="separate"/>
        </w:r>
        <w:r w:rsidR="00AA18A6">
          <w:rPr>
            <w:noProof/>
          </w:rPr>
          <w:t>4</w:t>
        </w:r>
        <w:r>
          <w:fldChar w:fldCharType="end"/>
        </w:r>
      </w:p>
    </w:sdtContent>
  </w:sdt>
  <w:p w14:paraId="7F72AF2F" w14:textId="77777777" w:rsidR="001E5AC1" w:rsidRDefault="001E5AC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2AF2A" w14:textId="77777777" w:rsidR="00E0307C" w:rsidRDefault="00E0307C" w:rsidP="001E5AC1">
      <w:pPr>
        <w:spacing w:after="0" w:line="240" w:lineRule="auto"/>
      </w:pPr>
      <w:r>
        <w:separator/>
      </w:r>
    </w:p>
  </w:footnote>
  <w:footnote w:type="continuationSeparator" w:id="0">
    <w:p w14:paraId="7F72AF2B" w14:textId="77777777" w:rsidR="00E0307C" w:rsidRDefault="00E0307C" w:rsidP="001E5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72FC"/>
    <w:multiLevelType w:val="hybridMultilevel"/>
    <w:tmpl w:val="C89EDD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F63334"/>
    <w:multiLevelType w:val="hybridMultilevel"/>
    <w:tmpl w:val="071AC6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5B00F3"/>
    <w:multiLevelType w:val="hybridMultilevel"/>
    <w:tmpl w:val="3014C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1C465A"/>
    <w:multiLevelType w:val="hybridMultilevel"/>
    <w:tmpl w:val="7E642A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2986452"/>
    <w:multiLevelType w:val="hybridMultilevel"/>
    <w:tmpl w:val="5B0683A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27339C"/>
    <w:multiLevelType w:val="hybridMultilevel"/>
    <w:tmpl w:val="6E0C5C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FD726B"/>
    <w:multiLevelType w:val="hybridMultilevel"/>
    <w:tmpl w:val="773CD7BC"/>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7">
    <w:nsid w:val="2827268E"/>
    <w:multiLevelType w:val="hybridMultilevel"/>
    <w:tmpl w:val="808888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C95661A"/>
    <w:multiLevelType w:val="hybridMultilevel"/>
    <w:tmpl w:val="9A623E5A"/>
    <w:lvl w:ilvl="0" w:tplc="DF66CF12">
      <w:numFmt w:val="bullet"/>
      <w:lvlText w:val="-"/>
      <w:lvlJc w:val="left"/>
      <w:pPr>
        <w:ind w:left="436" w:hanging="360"/>
      </w:pPr>
      <w:rPr>
        <w:rFonts w:ascii="Arial" w:eastAsia="Times New Roman" w:hAnsi="Arial" w:cs="Aria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nsid w:val="3E2309DE"/>
    <w:multiLevelType w:val="hybridMultilevel"/>
    <w:tmpl w:val="3B0EED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D1667D"/>
    <w:multiLevelType w:val="hybridMultilevel"/>
    <w:tmpl w:val="2EDCF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2C577C"/>
    <w:multiLevelType w:val="hybridMultilevel"/>
    <w:tmpl w:val="669AC1C4"/>
    <w:lvl w:ilvl="0" w:tplc="2584A9C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FA28EE"/>
    <w:multiLevelType w:val="hybridMultilevel"/>
    <w:tmpl w:val="7A8859AC"/>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3094FD8"/>
    <w:multiLevelType w:val="hybridMultilevel"/>
    <w:tmpl w:val="9B3E2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D1A6688"/>
    <w:multiLevelType w:val="hybridMultilevel"/>
    <w:tmpl w:val="58D20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D346571"/>
    <w:multiLevelType w:val="hybridMultilevel"/>
    <w:tmpl w:val="DCF8BC8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60335AC2"/>
    <w:multiLevelType w:val="hybridMultilevel"/>
    <w:tmpl w:val="0C50AF72"/>
    <w:lvl w:ilvl="0" w:tplc="04150019">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144282A"/>
    <w:multiLevelType w:val="hybridMultilevel"/>
    <w:tmpl w:val="D5107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F6179F"/>
    <w:multiLevelType w:val="hybridMultilevel"/>
    <w:tmpl w:val="66C06EF8"/>
    <w:lvl w:ilvl="0" w:tplc="8402C572">
      <w:start w:val="1"/>
      <w:numFmt w:val="decimal"/>
      <w:pStyle w:val="Nagwek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4E1493F"/>
    <w:multiLevelType w:val="hybridMultilevel"/>
    <w:tmpl w:val="81F05C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1"/>
  </w:num>
  <w:num w:numId="5">
    <w:abstractNumId w:val="10"/>
  </w:num>
  <w:num w:numId="6">
    <w:abstractNumId w:val="14"/>
  </w:num>
  <w:num w:numId="7">
    <w:abstractNumId w:val="4"/>
  </w:num>
  <w:num w:numId="8">
    <w:abstractNumId w:val="16"/>
  </w:num>
  <w:num w:numId="9">
    <w:abstractNumId w:val="2"/>
  </w:num>
  <w:num w:numId="10">
    <w:abstractNumId w:val="3"/>
  </w:num>
  <w:num w:numId="11">
    <w:abstractNumId w:val="5"/>
  </w:num>
  <w:num w:numId="12">
    <w:abstractNumId w:val="6"/>
  </w:num>
  <w:num w:numId="13">
    <w:abstractNumId w:val="18"/>
  </w:num>
  <w:num w:numId="14">
    <w:abstractNumId w:val="9"/>
  </w:num>
  <w:num w:numId="15">
    <w:abstractNumId w:val="11"/>
  </w:num>
  <w:num w:numId="16">
    <w:abstractNumId w:val="17"/>
  </w:num>
  <w:num w:numId="17">
    <w:abstractNumId w:val="19"/>
  </w:num>
  <w:num w:numId="18">
    <w:abstractNumId w:val="8"/>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24"/>
    <w:rsid w:val="000104EB"/>
    <w:rsid w:val="00077BDE"/>
    <w:rsid w:val="000E55C7"/>
    <w:rsid w:val="000F2EA3"/>
    <w:rsid w:val="0014011C"/>
    <w:rsid w:val="001506EC"/>
    <w:rsid w:val="0017114B"/>
    <w:rsid w:val="001946D0"/>
    <w:rsid w:val="001B31E2"/>
    <w:rsid w:val="001C6767"/>
    <w:rsid w:val="001E4977"/>
    <w:rsid w:val="001E5AC1"/>
    <w:rsid w:val="002113BF"/>
    <w:rsid w:val="00211680"/>
    <w:rsid w:val="00212963"/>
    <w:rsid w:val="0023513E"/>
    <w:rsid w:val="00263D54"/>
    <w:rsid w:val="002972A1"/>
    <w:rsid w:val="00320FB5"/>
    <w:rsid w:val="00321B5E"/>
    <w:rsid w:val="00336A77"/>
    <w:rsid w:val="0035483F"/>
    <w:rsid w:val="003E25EE"/>
    <w:rsid w:val="003F4C93"/>
    <w:rsid w:val="00427D02"/>
    <w:rsid w:val="00431AC2"/>
    <w:rsid w:val="00440B83"/>
    <w:rsid w:val="004D1F61"/>
    <w:rsid w:val="0050350F"/>
    <w:rsid w:val="005241F2"/>
    <w:rsid w:val="0055669D"/>
    <w:rsid w:val="005573AE"/>
    <w:rsid w:val="00586C3A"/>
    <w:rsid w:val="005B273F"/>
    <w:rsid w:val="005B5EDD"/>
    <w:rsid w:val="005C0F55"/>
    <w:rsid w:val="005E078D"/>
    <w:rsid w:val="005F17C5"/>
    <w:rsid w:val="005F438D"/>
    <w:rsid w:val="0061066E"/>
    <w:rsid w:val="00610E21"/>
    <w:rsid w:val="00642BB2"/>
    <w:rsid w:val="00645DB0"/>
    <w:rsid w:val="006476AA"/>
    <w:rsid w:val="00663DA4"/>
    <w:rsid w:val="006650C2"/>
    <w:rsid w:val="00666E14"/>
    <w:rsid w:val="0069298A"/>
    <w:rsid w:val="006972F8"/>
    <w:rsid w:val="006E24B9"/>
    <w:rsid w:val="007205FD"/>
    <w:rsid w:val="00724EF9"/>
    <w:rsid w:val="00727D1E"/>
    <w:rsid w:val="00732FF8"/>
    <w:rsid w:val="0074088F"/>
    <w:rsid w:val="00752D29"/>
    <w:rsid w:val="00753386"/>
    <w:rsid w:val="007774D1"/>
    <w:rsid w:val="007C66D0"/>
    <w:rsid w:val="00885002"/>
    <w:rsid w:val="00896363"/>
    <w:rsid w:val="008A0BF2"/>
    <w:rsid w:val="008C3524"/>
    <w:rsid w:val="008D6C7D"/>
    <w:rsid w:val="009412AC"/>
    <w:rsid w:val="0097650F"/>
    <w:rsid w:val="009A561D"/>
    <w:rsid w:val="009C2C54"/>
    <w:rsid w:val="009C5BE7"/>
    <w:rsid w:val="009E02BA"/>
    <w:rsid w:val="009E615B"/>
    <w:rsid w:val="00A053A3"/>
    <w:rsid w:val="00A16CBA"/>
    <w:rsid w:val="00A31A6D"/>
    <w:rsid w:val="00A45090"/>
    <w:rsid w:val="00A451BC"/>
    <w:rsid w:val="00AA18A6"/>
    <w:rsid w:val="00AA3666"/>
    <w:rsid w:val="00AA72F3"/>
    <w:rsid w:val="00AC2EDD"/>
    <w:rsid w:val="00AD28A5"/>
    <w:rsid w:val="00AD6418"/>
    <w:rsid w:val="00AE4133"/>
    <w:rsid w:val="00AE713D"/>
    <w:rsid w:val="00B03982"/>
    <w:rsid w:val="00B92261"/>
    <w:rsid w:val="00B92432"/>
    <w:rsid w:val="00B979C3"/>
    <w:rsid w:val="00BB1736"/>
    <w:rsid w:val="00BB405A"/>
    <w:rsid w:val="00BB4DB5"/>
    <w:rsid w:val="00BD211C"/>
    <w:rsid w:val="00BD5924"/>
    <w:rsid w:val="00BE477A"/>
    <w:rsid w:val="00C13D6B"/>
    <w:rsid w:val="00C342AB"/>
    <w:rsid w:val="00C4513B"/>
    <w:rsid w:val="00C451BD"/>
    <w:rsid w:val="00C50988"/>
    <w:rsid w:val="00C82D86"/>
    <w:rsid w:val="00C965C7"/>
    <w:rsid w:val="00CA7FB0"/>
    <w:rsid w:val="00CC1232"/>
    <w:rsid w:val="00CF6A03"/>
    <w:rsid w:val="00D14DC4"/>
    <w:rsid w:val="00D4484E"/>
    <w:rsid w:val="00DA6688"/>
    <w:rsid w:val="00DC54DF"/>
    <w:rsid w:val="00DC613D"/>
    <w:rsid w:val="00DE0967"/>
    <w:rsid w:val="00E0307C"/>
    <w:rsid w:val="00E0451C"/>
    <w:rsid w:val="00E2498A"/>
    <w:rsid w:val="00E41D29"/>
    <w:rsid w:val="00E75A93"/>
    <w:rsid w:val="00E80D58"/>
    <w:rsid w:val="00E96157"/>
    <w:rsid w:val="00EA1821"/>
    <w:rsid w:val="00ED7057"/>
    <w:rsid w:val="00EE7270"/>
    <w:rsid w:val="00F253EF"/>
    <w:rsid w:val="00F43987"/>
    <w:rsid w:val="00F47033"/>
    <w:rsid w:val="00F528EA"/>
    <w:rsid w:val="00F705DE"/>
    <w:rsid w:val="00F71FFE"/>
    <w:rsid w:val="00F751F8"/>
    <w:rsid w:val="00FB0000"/>
    <w:rsid w:val="00FB4921"/>
    <w:rsid w:val="00FD64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Akapitzlist"/>
    <w:next w:val="Normalny"/>
    <w:link w:val="Nagwek1Znak"/>
    <w:qFormat/>
    <w:rsid w:val="00211680"/>
    <w:pPr>
      <w:numPr>
        <w:numId w:val="13"/>
      </w:numPr>
      <w:pBdr>
        <w:bottom w:val="single" w:sz="4" w:space="1" w:color="000000"/>
      </w:pBdr>
      <w:tabs>
        <w:tab w:val="left" w:pos="567"/>
      </w:tabs>
      <w:spacing w:after="0" w:line="360" w:lineRule="auto"/>
      <w:contextualSpacing w:val="0"/>
      <w:jc w:val="both"/>
      <w:outlineLvl w:val="0"/>
    </w:pPr>
    <w:rPr>
      <w:rFonts w:ascii="Arial" w:eastAsia="Times New Roman" w:hAnsi="Arial" w:cs="Arial"/>
      <w:b/>
      <w:kern w:val="1"/>
      <w:sz w:val="24"/>
      <w:szCs w:val="24"/>
      <w:lang w:val="en-GB" w:eastAsia="en-GB"/>
    </w:rPr>
  </w:style>
  <w:style w:type="paragraph" w:styleId="Nagwek2">
    <w:name w:val="heading 2"/>
    <w:basedOn w:val="Normalny"/>
    <w:next w:val="Normalny"/>
    <w:link w:val="Nagwek2Znak"/>
    <w:uiPriority w:val="9"/>
    <w:unhideWhenUsed/>
    <w:qFormat/>
    <w:rsid w:val="00DC54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C0F55"/>
    <w:pPr>
      <w:ind w:left="720"/>
      <w:contextualSpacing/>
    </w:pPr>
  </w:style>
  <w:style w:type="paragraph" w:styleId="Nagwek">
    <w:name w:val="header"/>
    <w:basedOn w:val="Normalny"/>
    <w:link w:val="NagwekZnak"/>
    <w:uiPriority w:val="99"/>
    <w:unhideWhenUsed/>
    <w:rsid w:val="001E5A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5AC1"/>
  </w:style>
  <w:style w:type="paragraph" w:styleId="Stopka">
    <w:name w:val="footer"/>
    <w:basedOn w:val="Normalny"/>
    <w:link w:val="StopkaZnak"/>
    <w:uiPriority w:val="99"/>
    <w:unhideWhenUsed/>
    <w:rsid w:val="001E5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5AC1"/>
  </w:style>
  <w:style w:type="character" w:customStyle="1" w:styleId="Nagwek1Znak">
    <w:name w:val="Nagłówek 1 Znak"/>
    <w:basedOn w:val="Domylnaczcionkaakapitu"/>
    <w:link w:val="Nagwek1"/>
    <w:rsid w:val="00211680"/>
    <w:rPr>
      <w:rFonts w:ascii="Arial" w:eastAsia="Times New Roman" w:hAnsi="Arial" w:cs="Arial"/>
      <w:b/>
      <w:kern w:val="1"/>
      <w:sz w:val="24"/>
      <w:szCs w:val="24"/>
      <w:lang w:val="en-GB" w:eastAsia="en-GB"/>
    </w:rPr>
  </w:style>
  <w:style w:type="paragraph" w:styleId="Tekstdymka">
    <w:name w:val="Balloon Text"/>
    <w:basedOn w:val="Normalny"/>
    <w:link w:val="TekstdymkaZnak"/>
    <w:uiPriority w:val="99"/>
    <w:semiHidden/>
    <w:unhideWhenUsed/>
    <w:rsid w:val="00E41D2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1D29"/>
    <w:rPr>
      <w:rFonts w:ascii="Tahoma" w:hAnsi="Tahoma" w:cs="Tahoma"/>
      <w:sz w:val="16"/>
      <w:szCs w:val="16"/>
    </w:rPr>
  </w:style>
  <w:style w:type="character" w:customStyle="1" w:styleId="Nagwek2Znak">
    <w:name w:val="Nagłówek 2 Znak"/>
    <w:basedOn w:val="Domylnaczcionkaakapitu"/>
    <w:link w:val="Nagwek2"/>
    <w:uiPriority w:val="9"/>
    <w:rsid w:val="00DC54D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Akapitzlist"/>
    <w:next w:val="Normalny"/>
    <w:link w:val="Nagwek1Znak"/>
    <w:qFormat/>
    <w:rsid w:val="00211680"/>
    <w:pPr>
      <w:numPr>
        <w:numId w:val="13"/>
      </w:numPr>
      <w:pBdr>
        <w:bottom w:val="single" w:sz="4" w:space="1" w:color="000000"/>
      </w:pBdr>
      <w:tabs>
        <w:tab w:val="left" w:pos="567"/>
      </w:tabs>
      <w:spacing w:after="0" w:line="360" w:lineRule="auto"/>
      <w:contextualSpacing w:val="0"/>
      <w:jc w:val="both"/>
      <w:outlineLvl w:val="0"/>
    </w:pPr>
    <w:rPr>
      <w:rFonts w:ascii="Arial" w:eastAsia="Times New Roman" w:hAnsi="Arial" w:cs="Arial"/>
      <w:b/>
      <w:kern w:val="1"/>
      <w:sz w:val="24"/>
      <w:szCs w:val="24"/>
      <w:lang w:val="en-GB" w:eastAsia="en-GB"/>
    </w:rPr>
  </w:style>
  <w:style w:type="paragraph" w:styleId="Nagwek2">
    <w:name w:val="heading 2"/>
    <w:basedOn w:val="Normalny"/>
    <w:next w:val="Normalny"/>
    <w:link w:val="Nagwek2Znak"/>
    <w:uiPriority w:val="9"/>
    <w:unhideWhenUsed/>
    <w:qFormat/>
    <w:rsid w:val="00DC54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C0F55"/>
    <w:pPr>
      <w:ind w:left="720"/>
      <w:contextualSpacing/>
    </w:pPr>
  </w:style>
  <w:style w:type="paragraph" w:styleId="Nagwek">
    <w:name w:val="header"/>
    <w:basedOn w:val="Normalny"/>
    <w:link w:val="NagwekZnak"/>
    <w:uiPriority w:val="99"/>
    <w:unhideWhenUsed/>
    <w:rsid w:val="001E5A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5AC1"/>
  </w:style>
  <w:style w:type="paragraph" w:styleId="Stopka">
    <w:name w:val="footer"/>
    <w:basedOn w:val="Normalny"/>
    <w:link w:val="StopkaZnak"/>
    <w:uiPriority w:val="99"/>
    <w:unhideWhenUsed/>
    <w:rsid w:val="001E5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5AC1"/>
  </w:style>
  <w:style w:type="character" w:customStyle="1" w:styleId="Nagwek1Znak">
    <w:name w:val="Nagłówek 1 Znak"/>
    <w:basedOn w:val="Domylnaczcionkaakapitu"/>
    <w:link w:val="Nagwek1"/>
    <w:rsid w:val="00211680"/>
    <w:rPr>
      <w:rFonts w:ascii="Arial" w:eastAsia="Times New Roman" w:hAnsi="Arial" w:cs="Arial"/>
      <w:b/>
      <w:kern w:val="1"/>
      <w:sz w:val="24"/>
      <w:szCs w:val="24"/>
      <w:lang w:val="en-GB" w:eastAsia="en-GB"/>
    </w:rPr>
  </w:style>
  <w:style w:type="paragraph" w:styleId="Tekstdymka">
    <w:name w:val="Balloon Text"/>
    <w:basedOn w:val="Normalny"/>
    <w:link w:val="TekstdymkaZnak"/>
    <w:uiPriority w:val="99"/>
    <w:semiHidden/>
    <w:unhideWhenUsed/>
    <w:rsid w:val="00E41D2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41D29"/>
    <w:rPr>
      <w:rFonts w:ascii="Tahoma" w:hAnsi="Tahoma" w:cs="Tahoma"/>
      <w:sz w:val="16"/>
      <w:szCs w:val="16"/>
    </w:rPr>
  </w:style>
  <w:style w:type="character" w:customStyle="1" w:styleId="Nagwek2Znak">
    <w:name w:val="Nagłówek 2 Znak"/>
    <w:basedOn w:val="Domylnaczcionkaakapitu"/>
    <w:link w:val="Nagwek2"/>
    <w:uiPriority w:val="9"/>
    <w:rsid w:val="00DC54D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Komentarz xmlns="dd6d062c-ff7a-40a1-b62a-5efaaa29a2cc">notatka ze spotkania w dniu 16.06.2015 dotyczącego implementacji art. 49.1 CSDR</Komentarz>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751F4D9261C384198B96E27E96C62E1" ma:contentTypeVersion="2" ma:contentTypeDescription="Utwórz nowy dokument." ma:contentTypeScope="" ma:versionID="6e890a20ed4ec7f4cb71469d9bf84dc7">
  <xsd:schema xmlns:xsd="http://www.w3.org/2001/XMLSchema" xmlns:p="http://schemas.microsoft.com/office/2006/metadata/properties" xmlns:ns2="dd6d062c-ff7a-40a1-b62a-5efaaa29a2cc" targetNamespace="http://schemas.microsoft.com/office/2006/metadata/properties" ma:root="true" ma:fieldsID="c0ffafe59b79ceb1133fc40df5b9fd7e" ns2:_="">
    <xsd:import namespace="dd6d062c-ff7a-40a1-b62a-5efaaa29a2cc"/>
    <xsd:element name="properties">
      <xsd:complexType>
        <xsd:sequence>
          <xsd:element name="documentManagement">
            <xsd:complexType>
              <xsd:all>
                <xsd:element ref="ns2:Komentarz" minOccurs="0"/>
              </xsd:all>
            </xsd:complexType>
          </xsd:element>
        </xsd:sequence>
      </xsd:complexType>
    </xsd:element>
  </xsd:schema>
  <xsd:schema xmlns:xsd="http://www.w3.org/2001/XMLSchema" xmlns:dms="http://schemas.microsoft.com/office/2006/documentManagement/types" targetNamespace="dd6d062c-ff7a-40a1-b62a-5efaaa29a2cc" elementFormDefault="qualified">
    <xsd:import namespace="http://schemas.microsoft.com/office/2006/documentManagement/types"/>
    <xsd:element name="Komentarz" ma:index="8" nillable="true" ma:displayName="Komentarz" ma:internalName="Komentarz">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32C58-9B7A-49F5-84E4-5DBD58AAFF93}">
  <ds:schemaRefs>
    <ds:schemaRef ds:uri="http://purl.org/dc/dcmitype/"/>
    <ds:schemaRef ds:uri="http://purl.org/dc/terms/"/>
    <ds:schemaRef ds:uri="http://schemas.openxmlformats.org/package/2006/metadata/core-properties"/>
    <ds:schemaRef ds:uri="dd6d062c-ff7a-40a1-b62a-5efaaa29a2cc"/>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4BC8A76-6638-421D-B33F-0D66E446A9EA}">
  <ds:schemaRefs>
    <ds:schemaRef ds:uri="http://schemas.microsoft.com/sharepoint/v3/contenttype/forms"/>
  </ds:schemaRefs>
</ds:datastoreItem>
</file>

<file path=customXml/itemProps3.xml><?xml version="1.0" encoding="utf-8"?>
<ds:datastoreItem xmlns:ds="http://schemas.openxmlformats.org/officeDocument/2006/customXml" ds:itemID="{30DADC6E-5C92-436F-BD3C-4373F5036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d062c-ff7a-40a1-b62a-5efaaa29a2c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87E8414-4F05-410F-A5FA-64E9945D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1213</Words>
  <Characters>7278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KDPW S.A.</Company>
  <LinksUpToDate>false</LinksUpToDate>
  <CharactersWithSpaces>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dp0168</dc:creator>
  <cp:lastModifiedBy>Zielińska Anna</cp:lastModifiedBy>
  <cp:revision>12</cp:revision>
  <dcterms:created xsi:type="dcterms:W3CDTF">2015-07-30T10:02:00Z</dcterms:created>
  <dcterms:modified xsi:type="dcterms:W3CDTF">2015-08-03T14:58:00Z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0x010100E751F4D9261C384198B96E27E96C62E1</vt:lpwstr>
  </property>
</Properties>
</file>