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F" w:rsidRDefault="004548CF" w:rsidP="004548CF">
      <w:bookmarkStart w:id="0" w:name="_GoBack"/>
      <w:bookmarkEnd w:id="0"/>
      <w:r>
        <w:t>In relation to Option 3, we consider that the buy-in arrangements between OTC transactions and on-exchange transactions should be consistent.  There are situations where intermediaries are placed at a disadvantage when clients instruct the intermediary to buy a product OTC and then instruct the intermediary to subsequently sell the product on-exchange.  If the OTC counterparty fails to deliver the product to the intermediary, then the intermediary in turn will fail to deliver the product to the CCP in relation to the on-exchange leg.  The intermediary is then subject to the buy-in obligations under the on-exchange rules which are more onerous than the OTC rules.  This mismatch places intermediaries at a disadvantage.  It would be preferable if both sets of rules were consistent.</w:t>
      </w:r>
    </w:p>
    <w:p w:rsidR="00392C69" w:rsidRPr="004548CF" w:rsidRDefault="00392C69" w:rsidP="004548CF"/>
    <w:sectPr w:rsidR="00392C69" w:rsidRPr="0045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72"/>
    <w:rsid w:val="00392C69"/>
    <w:rsid w:val="004548CF"/>
    <w:rsid w:val="007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CF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CF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>IG Group PLC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Ferraro</dc:creator>
  <cp:lastModifiedBy>Fabrizio Ferraro</cp:lastModifiedBy>
  <cp:revision>2</cp:revision>
  <dcterms:created xsi:type="dcterms:W3CDTF">2015-07-30T15:09:00Z</dcterms:created>
  <dcterms:modified xsi:type="dcterms:W3CDTF">2015-07-30T15:19:00Z</dcterms:modified>
</cp:coreProperties>
</file>