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DBA" w:rsidRDefault="00CF4064" w:rsidP="004D343D">
      <w:pPr>
        <w:pStyle w:val="Annex"/>
      </w:pPr>
      <w:bookmarkStart w:id="0" w:name="_Ref357607936"/>
      <w:bookmarkStart w:id="1" w:name="_Toc357780184"/>
      <w:bookmarkStart w:id="2" w:name="_Toc359318913"/>
      <w:bookmarkStart w:id="3" w:name="_Toc359335087"/>
      <w:bookmarkStart w:id="4" w:name="_Toc359338704"/>
      <w:bookmarkStart w:id="5" w:name="_GoBack"/>
      <w:bookmarkEnd w:id="5"/>
      <w:r>
        <w:tab/>
      </w:r>
      <w:r>
        <w:tab/>
      </w:r>
      <w:r>
        <w:tab/>
      </w:r>
      <w:r>
        <w:tab/>
      </w:r>
      <w:r>
        <w:tab/>
      </w:r>
      <w:r>
        <w:tab/>
      </w:r>
      <w:r>
        <w:tab/>
      </w:r>
      <w:r>
        <w:tab/>
      </w:r>
      <w:r>
        <w:tab/>
      </w:r>
      <w:r>
        <w:tab/>
        <w:t>ESMA/2013/926</w:t>
      </w:r>
    </w:p>
    <w:p w:rsidR="003D1DBA" w:rsidRDefault="003D1DBA" w:rsidP="004D343D">
      <w:pPr>
        <w:pStyle w:val="Annex"/>
      </w:pPr>
    </w:p>
    <w:p w:rsidR="003D1DBA" w:rsidRDefault="003D1DBA" w:rsidP="004D343D">
      <w:pPr>
        <w:pStyle w:val="Annex"/>
      </w:pPr>
    </w:p>
    <w:p w:rsidR="003D1DBA" w:rsidRDefault="003D1DBA" w:rsidP="004D343D">
      <w:pPr>
        <w:pStyle w:val="Annex"/>
      </w:pPr>
    </w:p>
    <w:p w:rsidR="004D343D" w:rsidRDefault="000D2A3B" w:rsidP="004D343D">
      <w:pPr>
        <w:pStyle w:val="Annex"/>
      </w:pPr>
      <w:r>
        <w:t xml:space="preserve">Template for the </w:t>
      </w:r>
      <w:r w:rsidR="004D343D">
        <w:t>Response</w:t>
      </w:r>
      <w:r>
        <w:t>s</w:t>
      </w:r>
      <w:r w:rsidR="004D343D">
        <w:t xml:space="preserve"> to the Discussion Paper on the Clearing Obligation</w:t>
      </w:r>
      <w:r w:rsidR="00730532">
        <w:t xml:space="preserve"> under EMIR</w:t>
      </w:r>
    </w:p>
    <w:p w:rsidR="00602D18" w:rsidRDefault="00602D18" w:rsidP="004D343D">
      <w:pPr>
        <w:pStyle w:val="Annex"/>
      </w:pPr>
    </w:p>
    <w:p w:rsidR="00556B75" w:rsidRDefault="00556B75" w:rsidP="00602D18">
      <w:pPr>
        <w:pStyle w:val="Annex"/>
        <w:spacing w:after="240" w:line="276" w:lineRule="auto"/>
        <w:jc w:val="both"/>
        <w:rPr>
          <w:b w:val="0"/>
        </w:rPr>
      </w:pPr>
    </w:p>
    <w:p w:rsidR="00556B75" w:rsidRPr="00556B75" w:rsidRDefault="00556B75" w:rsidP="00602D18">
      <w:pPr>
        <w:pStyle w:val="Annex"/>
        <w:spacing w:after="240" w:line="276" w:lineRule="auto"/>
        <w:jc w:val="both"/>
        <w:rPr>
          <w:color w:val="2D4190"/>
        </w:rPr>
      </w:pPr>
      <w:r w:rsidRPr="00556B75">
        <w:rPr>
          <w:color w:val="2D4190"/>
        </w:rPr>
        <w:t>How to use this template</w:t>
      </w:r>
    </w:p>
    <w:p w:rsidR="004A110C" w:rsidRPr="00556B75" w:rsidRDefault="00602D18" w:rsidP="00602D18">
      <w:pPr>
        <w:pStyle w:val="Annex"/>
        <w:spacing w:after="240" w:line="276" w:lineRule="auto"/>
        <w:jc w:val="both"/>
        <w:rPr>
          <w:b w:val="0"/>
          <w:color w:val="2D4190"/>
        </w:rPr>
      </w:pPr>
      <w:r w:rsidRPr="00556B75">
        <w:rPr>
          <w:b w:val="0"/>
          <w:color w:val="2D4190"/>
        </w:rPr>
        <w:t xml:space="preserve">This template is made available to stakeholders who wish to answer to ESMA’s Discussion Paper on the Clearing Obligation under EMIR, reference </w:t>
      </w:r>
      <w:r w:rsidR="0025726B">
        <w:rPr>
          <w:b w:val="0"/>
          <w:color w:val="2D4190"/>
        </w:rPr>
        <w:t>ESMA/2013/925.</w:t>
      </w:r>
      <w:r w:rsidR="004A110C" w:rsidRPr="00556B75">
        <w:rPr>
          <w:b w:val="0"/>
          <w:color w:val="2D4190"/>
        </w:rPr>
        <w:t xml:space="preserve"> </w:t>
      </w:r>
    </w:p>
    <w:p w:rsidR="00602D18" w:rsidRPr="00556B75" w:rsidRDefault="004A110C" w:rsidP="00602D18">
      <w:pPr>
        <w:pStyle w:val="Annex"/>
        <w:spacing w:after="240" w:line="276" w:lineRule="auto"/>
        <w:jc w:val="both"/>
        <w:rPr>
          <w:b w:val="0"/>
          <w:color w:val="2D4190"/>
        </w:rPr>
      </w:pPr>
      <w:r w:rsidRPr="00556B75">
        <w:rPr>
          <w:b w:val="0"/>
          <w:color w:val="2D4190"/>
        </w:rPr>
        <w:t xml:space="preserve">ESMA </w:t>
      </w:r>
      <w:r w:rsidR="006A3868" w:rsidRPr="00556B75">
        <w:rPr>
          <w:b w:val="0"/>
          <w:color w:val="2D4190"/>
        </w:rPr>
        <w:t>wishes to encourage</w:t>
      </w:r>
      <w:r w:rsidRPr="00556B75">
        <w:rPr>
          <w:b w:val="0"/>
          <w:color w:val="2D4190"/>
        </w:rPr>
        <w:t xml:space="preserve"> stakeholders to use the template in order to facilitate the analysis of the responses to this consultation.</w:t>
      </w:r>
      <w:r w:rsidR="00962CA6" w:rsidRPr="00962CA6">
        <w:rPr>
          <w:b w:val="0"/>
          <w:color w:val="2D4190"/>
        </w:rPr>
        <w:t xml:space="preserve"> </w:t>
      </w:r>
      <w:r w:rsidR="00962CA6">
        <w:rPr>
          <w:b w:val="0"/>
          <w:color w:val="2D4190"/>
        </w:rPr>
        <w:t>However, ESMA will duly consider a</w:t>
      </w:r>
      <w:r w:rsidR="00962CA6" w:rsidRPr="00556B75">
        <w:rPr>
          <w:b w:val="0"/>
          <w:color w:val="2D4190"/>
        </w:rPr>
        <w:t>ll answers</w:t>
      </w:r>
      <w:r w:rsidR="00962CA6">
        <w:rPr>
          <w:b w:val="0"/>
          <w:color w:val="2D4190"/>
        </w:rPr>
        <w:t xml:space="preserve"> irrespective of the format under which they are submitted</w:t>
      </w:r>
      <w:r w:rsidR="00962CA6" w:rsidRPr="00556B75">
        <w:rPr>
          <w:b w:val="0"/>
          <w:color w:val="2D4190"/>
        </w:rPr>
        <w:t xml:space="preserve">. </w:t>
      </w:r>
    </w:p>
    <w:p w:rsidR="004A110C" w:rsidRPr="00556B75" w:rsidRDefault="00602D18" w:rsidP="00C30D29">
      <w:pPr>
        <w:pStyle w:val="Annex"/>
        <w:spacing w:after="240" w:line="276" w:lineRule="auto"/>
        <w:jc w:val="both"/>
        <w:rPr>
          <w:b w:val="0"/>
          <w:color w:val="2D4190"/>
        </w:rPr>
      </w:pPr>
      <w:r w:rsidRPr="00556B75">
        <w:rPr>
          <w:b w:val="0"/>
          <w:color w:val="2D4190"/>
        </w:rPr>
        <w:t>When not commenting on a specific question</w:t>
      </w:r>
      <w:r w:rsidR="00374AD6" w:rsidRPr="00556B75">
        <w:rPr>
          <w:b w:val="0"/>
          <w:color w:val="2D4190"/>
        </w:rPr>
        <w:t xml:space="preserve"> or </w:t>
      </w:r>
      <w:r w:rsidR="00C30D29">
        <w:rPr>
          <w:b w:val="0"/>
          <w:color w:val="2D4190"/>
        </w:rPr>
        <w:t>section, please kindly delete the corresponding references (i.e. “Question x”, “Answer y”, “Comments on paragraph</w:t>
      </w:r>
      <w:r w:rsidR="00C06F83">
        <w:rPr>
          <w:b w:val="0"/>
          <w:color w:val="2D4190"/>
        </w:rPr>
        <w:t>s</w:t>
      </w:r>
      <w:r w:rsidR="00C30D29">
        <w:rPr>
          <w:b w:val="0"/>
          <w:color w:val="2D4190"/>
        </w:rPr>
        <w:t xml:space="preserve"> x to y”).</w:t>
      </w:r>
    </w:p>
    <w:p w:rsidR="00602D18" w:rsidRPr="00556B75" w:rsidRDefault="0090640F" w:rsidP="00C30D29">
      <w:pPr>
        <w:pStyle w:val="Annex"/>
        <w:spacing w:after="240" w:line="276" w:lineRule="auto"/>
        <w:jc w:val="both"/>
        <w:rPr>
          <w:b w:val="0"/>
          <w:color w:val="2D4190"/>
        </w:rPr>
      </w:pPr>
      <w:r w:rsidRPr="00556B75">
        <w:rPr>
          <w:b w:val="0"/>
          <w:color w:val="2D4190"/>
        </w:rPr>
        <w:t>The final submission of your answer in word format is preferred.</w:t>
      </w:r>
    </w:p>
    <w:p w:rsidR="004D343D" w:rsidRPr="00996F2C" w:rsidRDefault="004D343D" w:rsidP="004D343D">
      <w:pPr>
        <w:pStyle w:val="Annex"/>
        <w:rPr>
          <w:lang w:eastAsia="en-GB"/>
        </w:rPr>
      </w:pPr>
    </w:p>
    <w:p w:rsidR="004D343D" w:rsidRDefault="004D343D" w:rsidP="004D343D">
      <w:pPr>
        <w:pStyle w:val="Annex"/>
        <w:rPr>
          <w:lang w:eastAsia="en-GB"/>
        </w:rPr>
      </w:pPr>
    </w:p>
    <w:p w:rsidR="004D343D" w:rsidRPr="00E879CD" w:rsidRDefault="004D343D" w:rsidP="004D343D">
      <w:pPr>
        <w:pStyle w:val="MyStyle"/>
        <w:numPr>
          <w:ilvl w:val="0"/>
          <w:numId w:val="9"/>
        </w:numPr>
      </w:pPr>
      <w:r w:rsidRPr="00E879CD">
        <w:t xml:space="preserve">Respondent </w:t>
      </w:r>
    </w:p>
    <w:p w:rsidR="004D343D" w:rsidRPr="00E879CD" w:rsidRDefault="004D343D" w:rsidP="004D343D"/>
    <w:p w:rsidR="004D343D" w:rsidRPr="00D077AD" w:rsidRDefault="004D343D" w:rsidP="004D343D">
      <w:pPr>
        <w:rPr>
          <w:sz w:val="20"/>
          <w:u w:val="single"/>
          <w:lang w:val="en-US"/>
        </w:rPr>
      </w:pPr>
      <w:r w:rsidRPr="004D343D">
        <w:rPr>
          <w:sz w:val="20"/>
          <w:u w:val="single"/>
        </w:rPr>
        <w:t>Name:</w:t>
      </w:r>
      <w:r w:rsidR="00D077AD">
        <w:rPr>
          <w:sz w:val="20"/>
          <w:u w:val="single"/>
        </w:rPr>
        <w:t xml:space="preserve"> German Insurance Association - </w:t>
      </w:r>
      <w:r w:rsidR="00D077AD" w:rsidRPr="00D077AD">
        <w:rPr>
          <w:sz w:val="20"/>
          <w:u w:val="single"/>
        </w:rPr>
        <w:t>ID Number 6437280268-55</w:t>
      </w:r>
    </w:p>
    <w:p w:rsidR="004D343D" w:rsidRPr="004D343D" w:rsidRDefault="004D343D" w:rsidP="004D343D">
      <w:pPr>
        <w:rPr>
          <w:sz w:val="20"/>
          <w:u w:val="single"/>
        </w:rPr>
      </w:pPr>
      <w:r w:rsidRPr="004D343D">
        <w:rPr>
          <w:sz w:val="20"/>
          <w:u w:val="single"/>
        </w:rPr>
        <w:t>Country:</w:t>
      </w:r>
      <w:r w:rsidR="00D077AD">
        <w:rPr>
          <w:sz w:val="20"/>
          <w:u w:val="single"/>
        </w:rPr>
        <w:t xml:space="preserve"> Germany</w:t>
      </w:r>
    </w:p>
    <w:p w:rsidR="004D343D" w:rsidRPr="004D343D" w:rsidRDefault="004D343D" w:rsidP="004D343D">
      <w:pPr>
        <w:rPr>
          <w:sz w:val="20"/>
          <w:u w:val="single"/>
        </w:rPr>
      </w:pPr>
      <w:r w:rsidRPr="004D343D">
        <w:rPr>
          <w:sz w:val="20"/>
          <w:u w:val="single"/>
        </w:rPr>
        <w:t>Category:</w:t>
      </w:r>
      <w:r w:rsidR="00D258EA" w:rsidRPr="00D258EA">
        <w:rPr>
          <w:sz w:val="20"/>
        </w:rPr>
        <w:t xml:space="preserve"> please use the table below</w:t>
      </w:r>
    </w:p>
    <w:tbl>
      <w:tblPr>
        <w:tblW w:w="5954" w:type="dxa"/>
        <w:tblInd w:w="108" w:type="dxa"/>
        <w:tblLook w:val="04A0" w:firstRow="1" w:lastRow="0" w:firstColumn="1" w:lastColumn="0" w:noHBand="0" w:noVBand="1"/>
      </w:tblPr>
      <w:tblGrid>
        <w:gridCol w:w="4796"/>
        <w:gridCol w:w="1158"/>
      </w:tblGrid>
      <w:tr w:rsidR="004D343D" w:rsidRPr="00E879CD" w:rsidTr="004D343D">
        <w:trPr>
          <w:trHeight w:val="606"/>
        </w:trPr>
        <w:tc>
          <w:tcPr>
            <w:tcW w:w="479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D343D" w:rsidRPr="004D343D" w:rsidRDefault="004D343D" w:rsidP="004D343D">
            <w:pPr>
              <w:spacing w:after="0"/>
              <w:jc w:val="center"/>
              <w:rPr>
                <w:b/>
                <w:sz w:val="20"/>
              </w:rPr>
            </w:pPr>
            <w:r w:rsidRPr="004D343D">
              <w:rPr>
                <w:b/>
                <w:sz w:val="20"/>
              </w:rPr>
              <w:t>Category</w:t>
            </w:r>
          </w:p>
        </w:tc>
        <w:tc>
          <w:tcPr>
            <w:tcW w:w="11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D343D" w:rsidRPr="004D343D" w:rsidRDefault="004D343D" w:rsidP="004D343D">
            <w:pPr>
              <w:spacing w:after="0"/>
              <w:jc w:val="center"/>
              <w:rPr>
                <w:b/>
                <w:sz w:val="20"/>
              </w:rPr>
            </w:pPr>
            <w:r w:rsidRPr="004D343D">
              <w:rPr>
                <w:b/>
                <w:sz w:val="20"/>
              </w:rPr>
              <w:t>Please select</w:t>
            </w:r>
          </w:p>
        </w:tc>
      </w:tr>
      <w:tr w:rsidR="004D343D" w:rsidRPr="00E879CD" w:rsidTr="004D343D">
        <w:trPr>
          <w:trHeight w:val="300"/>
        </w:trPr>
        <w:tc>
          <w:tcPr>
            <w:tcW w:w="4796" w:type="dxa"/>
            <w:tcBorders>
              <w:top w:val="nil"/>
              <w:left w:val="single" w:sz="4" w:space="0" w:color="000000"/>
              <w:bottom w:val="nil"/>
              <w:right w:val="single" w:sz="4" w:space="0" w:color="000000"/>
            </w:tcBorders>
            <w:shd w:val="clear" w:color="D9D9D9" w:fill="D9D9D9"/>
            <w:noWrap/>
            <w:vAlign w:val="bottom"/>
            <w:hideMark/>
          </w:tcPr>
          <w:p w:rsidR="004D343D" w:rsidRPr="00E879CD" w:rsidRDefault="004D343D" w:rsidP="004D343D">
            <w:pPr>
              <w:spacing w:after="0"/>
              <w:rPr>
                <w:sz w:val="20"/>
              </w:rPr>
            </w:pPr>
            <w:r w:rsidRPr="00E879CD">
              <w:rPr>
                <w:sz w:val="20"/>
              </w:rPr>
              <w:t>Audit/Legal/Individual</w:t>
            </w:r>
          </w:p>
        </w:tc>
        <w:tc>
          <w:tcPr>
            <w:tcW w:w="1158" w:type="dxa"/>
            <w:tcBorders>
              <w:top w:val="nil"/>
              <w:left w:val="single" w:sz="4" w:space="0" w:color="000000"/>
              <w:bottom w:val="nil"/>
              <w:right w:val="single" w:sz="4" w:space="0" w:color="000000"/>
            </w:tcBorders>
            <w:shd w:val="clear" w:color="D9D9D9" w:fill="D9D9D9"/>
            <w:noWrap/>
            <w:vAlign w:val="bottom"/>
            <w:hideMark/>
          </w:tcPr>
          <w:p w:rsidR="004D343D" w:rsidRPr="00E879CD" w:rsidRDefault="004D343D" w:rsidP="004D343D">
            <w:pPr>
              <w:spacing w:after="0"/>
              <w:rPr>
                <w:sz w:val="20"/>
              </w:rPr>
            </w:pPr>
          </w:p>
        </w:tc>
      </w:tr>
      <w:tr w:rsidR="004D343D" w:rsidRPr="00E879CD" w:rsidTr="004D343D">
        <w:trPr>
          <w:trHeight w:val="300"/>
        </w:trPr>
        <w:tc>
          <w:tcPr>
            <w:tcW w:w="4796" w:type="dxa"/>
            <w:tcBorders>
              <w:top w:val="nil"/>
              <w:left w:val="single" w:sz="4" w:space="0" w:color="000000"/>
              <w:bottom w:val="nil"/>
              <w:right w:val="single" w:sz="4" w:space="0" w:color="000000"/>
            </w:tcBorders>
            <w:shd w:val="clear" w:color="auto" w:fill="auto"/>
            <w:noWrap/>
            <w:vAlign w:val="bottom"/>
            <w:hideMark/>
          </w:tcPr>
          <w:p w:rsidR="004D343D" w:rsidRPr="00E879CD" w:rsidRDefault="004D343D" w:rsidP="004D343D">
            <w:pPr>
              <w:spacing w:after="0"/>
              <w:rPr>
                <w:sz w:val="20"/>
              </w:rPr>
            </w:pPr>
            <w:r w:rsidRPr="00E879CD">
              <w:rPr>
                <w:sz w:val="20"/>
              </w:rPr>
              <w:t>Banking</w:t>
            </w:r>
            <w:r w:rsidR="00A66DC0">
              <w:rPr>
                <w:sz w:val="20"/>
              </w:rPr>
              <w:t xml:space="preserve"> sector</w:t>
            </w:r>
          </w:p>
        </w:tc>
        <w:tc>
          <w:tcPr>
            <w:tcW w:w="1158" w:type="dxa"/>
            <w:tcBorders>
              <w:top w:val="nil"/>
              <w:left w:val="single" w:sz="4" w:space="0" w:color="000000"/>
              <w:bottom w:val="nil"/>
              <w:right w:val="single" w:sz="4" w:space="0" w:color="000000"/>
            </w:tcBorders>
            <w:shd w:val="clear" w:color="auto" w:fill="auto"/>
            <w:noWrap/>
            <w:vAlign w:val="bottom"/>
            <w:hideMark/>
          </w:tcPr>
          <w:p w:rsidR="004D343D" w:rsidRPr="00E879CD" w:rsidRDefault="004D343D" w:rsidP="004D343D">
            <w:pPr>
              <w:spacing w:after="0"/>
              <w:rPr>
                <w:sz w:val="20"/>
              </w:rPr>
            </w:pPr>
          </w:p>
        </w:tc>
      </w:tr>
      <w:tr w:rsidR="004D343D" w:rsidRPr="00E879CD" w:rsidTr="004D343D">
        <w:trPr>
          <w:trHeight w:val="300"/>
        </w:trPr>
        <w:tc>
          <w:tcPr>
            <w:tcW w:w="4796" w:type="dxa"/>
            <w:tcBorders>
              <w:top w:val="nil"/>
              <w:left w:val="single" w:sz="4" w:space="0" w:color="000000"/>
              <w:bottom w:val="nil"/>
              <w:right w:val="single" w:sz="4" w:space="0" w:color="000000"/>
            </w:tcBorders>
            <w:shd w:val="clear" w:color="D9D9D9" w:fill="D9D9D9"/>
            <w:noWrap/>
            <w:vAlign w:val="bottom"/>
            <w:hideMark/>
          </w:tcPr>
          <w:p w:rsidR="004D343D" w:rsidRPr="00E879CD" w:rsidRDefault="00A66DC0" w:rsidP="004D343D">
            <w:pPr>
              <w:spacing w:after="0"/>
              <w:rPr>
                <w:sz w:val="20"/>
              </w:rPr>
            </w:pPr>
            <w:r>
              <w:rPr>
                <w:sz w:val="20"/>
              </w:rPr>
              <w:t>Central Counterparty</w:t>
            </w:r>
          </w:p>
        </w:tc>
        <w:tc>
          <w:tcPr>
            <w:tcW w:w="1158" w:type="dxa"/>
            <w:tcBorders>
              <w:top w:val="nil"/>
              <w:left w:val="single" w:sz="4" w:space="0" w:color="000000"/>
              <w:bottom w:val="nil"/>
              <w:right w:val="single" w:sz="4" w:space="0" w:color="000000"/>
            </w:tcBorders>
            <w:shd w:val="clear" w:color="D9D9D9" w:fill="D9D9D9"/>
            <w:noWrap/>
            <w:vAlign w:val="bottom"/>
            <w:hideMark/>
          </w:tcPr>
          <w:p w:rsidR="004D343D" w:rsidRPr="00E879CD" w:rsidRDefault="004D343D" w:rsidP="004D343D">
            <w:pPr>
              <w:spacing w:after="0"/>
              <w:rPr>
                <w:sz w:val="20"/>
              </w:rPr>
            </w:pPr>
          </w:p>
        </w:tc>
      </w:tr>
      <w:tr w:rsidR="004D343D" w:rsidRPr="00E879CD" w:rsidTr="004D343D">
        <w:trPr>
          <w:trHeight w:val="300"/>
        </w:trPr>
        <w:tc>
          <w:tcPr>
            <w:tcW w:w="4796" w:type="dxa"/>
            <w:tcBorders>
              <w:top w:val="nil"/>
              <w:left w:val="single" w:sz="4" w:space="0" w:color="000000"/>
              <w:bottom w:val="nil"/>
              <w:right w:val="single" w:sz="4" w:space="0" w:color="000000"/>
            </w:tcBorders>
            <w:shd w:val="clear" w:color="auto" w:fill="auto"/>
            <w:noWrap/>
            <w:vAlign w:val="bottom"/>
            <w:hideMark/>
          </w:tcPr>
          <w:p w:rsidR="004D343D" w:rsidRPr="00E879CD" w:rsidRDefault="004B7C63" w:rsidP="004D343D">
            <w:pPr>
              <w:spacing w:after="0"/>
              <w:rPr>
                <w:sz w:val="20"/>
              </w:rPr>
            </w:pPr>
            <w:r>
              <w:rPr>
                <w:sz w:val="20"/>
              </w:rPr>
              <w:t>Commodity trading</w:t>
            </w:r>
          </w:p>
        </w:tc>
        <w:tc>
          <w:tcPr>
            <w:tcW w:w="1158" w:type="dxa"/>
            <w:tcBorders>
              <w:top w:val="nil"/>
              <w:left w:val="single" w:sz="4" w:space="0" w:color="000000"/>
              <w:bottom w:val="nil"/>
              <w:right w:val="single" w:sz="4" w:space="0" w:color="000000"/>
            </w:tcBorders>
            <w:shd w:val="clear" w:color="auto" w:fill="auto"/>
            <w:noWrap/>
            <w:vAlign w:val="bottom"/>
            <w:hideMark/>
          </w:tcPr>
          <w:p w:rsidR="004D343D" w:rsidRPr="00E879CD" w:rsidRDefault="004D343D" w:rsidP="004D343D">
            <w:pPr>
              <w:spacing w:after="0"/>
              <w:rPr>
                <w:sz w:val="20"/>
              </w:rPr>
            </w:pPr>
          </w:p>
        </w:tc>
      </w:tr>
      <w:tr w:rsidR="004D343D" w:rsidRPr="00E879CD" w:rsidTr="004D343D">
        <w:trPr>
          <w:trHeight w:val="300"/>
        </w:trPr>
        <w:tc>
          <w:tcPr>
            <w:tcW w:w="4796" w:type="dxa"/>
            <w:tcBorders>
              <w:top w:val="nil"/>
              <w:left w:val="single" w:sz="4" w:space="0" w:color="000000"/>
              <w:bottom w:val="nil"/>
              <w:right w:val="single" w:sz="4" w:space="0" w:color="000000"/>
            </w:tcBorders>
            <w:shd w:val="clear" w:color="D9D9D9" w:fill="D9D9D9"/>
            <w:noWrap/>
            <w:vAlign w:val="bottom"/>
            <w:hideMark/>
          </w:tcPr>
          <w:p w:rsidR="004D343D" w:rsidRPr="00E879CD" w:rsidRDefault="004D343D" w:rsidP="004D343D">
            <w:pPr>
              <w:spacing w:after="0"/>
              <w:rPr>
                <w:sz w:val="20"/>
              </w:rPr>
            </w:pPr>
            <w:r w:rsidRPr="00E879CD">
              <w:rPr>
                <w:sz w:val="20"/>
              </w:rPr>
              <w:t>Government, Regulatory and Enforcement</w:t>
            </w:r>
          </w:p>
        </w:tc>
        <w:tc>
          <w:tcPr>
            <w:tcW w:w="1158" w:type="dxa"/>
            <w:tcBorders>
              <w:top w:val="nil"/>
              <w:left w:val="single" w:sz="4" w:space="0" w:color="000000"/>
              <w:bottom w:val="nil"/>
              <w:right w:val="single" w:sz="4" w:space="0" w:color="000000"/>
            </w:tcBorders>
            <w:shd w:val="clear" w:color="D9D9D9" w:fill="D9D9D9"/>
            <w:noWrap/>
            <w:vAlign w:val="bottom"/>
            <w:hideMark/>
          </w:tcPr>
          <w:p w:rsidR="004D343D" w:rsidRPr="00E879CD" w:rsidRDefault="004D343D" w:rsidP="004D343D">
            <w:pPr>
              <w:spacing w:after="0"/>
              <w:rPr>
                <w:sz w:val="20"/>
              </w:rPr>
            </w:pPr>
          </w:p>
        </w:tc>
      </w:tr>
      <w:tr w:rsidR="004D343D" w:rsidRPr="00E879CD" w:rsidTr="004D343D">
        <w:trPr>
          <w:trHeight w:val="300"/>
        </w:trPr>
        <w:tc>
          <w:tcPr>
            <w:tcW w:w="4796" w:type="dxa"/>
            <w:tcBorders>
              <w:top w:val="nil"/>
              <w:left w:val="single" w:sz="4" w:space="0" w:color="000000"/>
              <w:bottom w:val="nil"/>
              <w:right w:val="single" w:sz="4" w:space="0" w:color="000000"/>
            </w:tcBorders>
            <w:shd w:val="clear" w:color="auto" w:fill="auto"/>
            <w:noWrap/>
            <w:vAlign w:val="bottom"/>
            <w:hideMark/>
          </w:tcPr>
          <w:p w:rsidR="004D343D" w:rsidRPr="00E879CD" w:rsidRDefault="004D343D" w:rsidP="004D343D">
            <w:pPr>
              <w:spacing w:after="0"/>
              <w:rPr>
                <w:sz w:val="20"/>
              </w:rPr>
            </w:pPr>
            <w:r w:rsidRPr="00E879CD">
              <w:rPr>
                <w:sz w:val="20"/>
              </w:rPr>
              <w:t>Insurance and Pension</w:t>
            </w:r>
          </w:p>
        </w:tc>
        <w:tc>
          <w:tcPr>
            <w:tcW w:w="1158" w:type="dxa"/>
            <w:tcBorders>
              <w:top w:val="nil"/>
              <w:left w:val="single" w:sz="4" w:space="0" w:color="000000"/>
              <w:bottom w:val="nil"/>
              <w:right w:val="single" w:sz="4" w:space="0" w:color="000000"/>
            </w:tcBorders>
            <w:shd w:val="clear" w:color="auto" w:fill="auto"/>
            <w:noWrap/>
            <w:vAlign w:val="bottom"/>
            <w:hideMark/>
          </w:tcPr>
          <w:p w:rsidR="004D343D" w:rsidRPr="00E879CD" w:rsidRDefault="00D077AD" w:rsidP="00127981">
            <w:pPr>
              <w:spacing w:after="0"/>
              <w:jc w:val="center"/>
              <w:rPr>
                <w:sz w:val="20"/>
              </w:rPr>
            </w:pPr>
            <w:r>
              <w:rPr>
                <w:sz w:val="20"/>
              </w:rPr>
              <w:t>X</w:t>
            </w:r>
          </w:p>
        </w:tc>
      </w:tr>
      <w:tr w:rsidR="004D343D" w:rsidRPr="00E879CD" w:rsidTr="004D343D">
        <w:trPr>
          <w:trHeight w:val="300"/>
        </w:trPr>
        <w:tc>
          <w:tcPr>
            <w:tcW w:w="4796" w:type="dxa"/>
            <w:tcBorders>
              <w:top w:val="nil"/>
              <w:left w:val="single" w:sz="4" w:space="0" w:color="000000"/>
              <w:bottom w:val="nil"/>
              <w:right w:val="single" w:sz="4" w:space="0" w:color="000000"/>
            </w:tcBorders>
            <w:shd w:val="clear" w:color="D9D9D9" w:fill="D9D9D9"/>
            <w:noWrap/>
            <w:vAlign w:val="bottom"/>
            <w:hideMark/>
          </w:tcPr>
          <w:p w:rsidR="004D343D" w:rsidRPr="00E879CD" w:rsidRDefault="004D343D" w:rsidP="004D343D">
            <w:pPr>
              <w:spacing w:after="0"/>
              <w:rPr>
                <w:sz w:val="20"/>
              </w:rPr>
            </w:pPr>
            <w:r w:rsidRPr="00E879CD">
              <w:rPr>
                <w:sz w:val="20"/>
              </w:rPr>
              <w:t>Investment Services</w:t>
            </w:r>
          </w:p>
        </w:tc>
        <w:tc>
          <w:tcPr>
            <w:tcW w:w="1158" w:type="dxa"/>
            <w:tcBorders>
              <w:top w:val="nil"/>
              <w:left w:val="single" w:sz="4" w:space="0" w:color="000000"/>
              <w:bottom w:val="nil"/>
              <w:right w:val="single" w:sz="4" w:space="0" w:color="000000"/>
            </w:tcBorders>
            <w:shd w:val="clear" w:color="D9D9D9" w:fill="D9D9D9"/>
            <w:noWrap/>
            <w:vAlign w:val="bottom"/>
            <w:hideMark/>
          </w:tcPr>
          <w:p w:rsidR="004D343D" w:rsidRPr="00E879CD" w:rsidRDefault="004D343D" w:rsidP="004D343D">
            <w:pPr>
              <w:spacing w:after="0"/>
              <w:rPr>
                <w:sz w:val="20"/>
              </w:rPr>
            </w:pPr>
          </w:p>
        </w:tc>
      </w:tr>
      <w:tr w:rsidR="004D343D" w:rsidRPr="00E879CD" w:rsidTr="004D343D">
        <w:trPr>
          <w:trHeight w:val="300"/>
        </w:trPr>
        <w:tc>
          <w:tcPr>
            <w:tcW w:w="4796" w:type="dxa"/>
            <w:tcBorders>
              <w:top w:val="nil"/>
              <w:left w:val="single" w:sz="4" w:space="0" w:color="000000"/>
              <w:bottom w:val="nil"/>
              <w:right w:val="single" w:sz="4" w:space="0" w:color="000000"/>
            </w:tcBorders>
            <w:shd w:val="clear" w:color="auto" w:fill="auto"/>
            <w:noWrap/>
            <w:vAlign w:val="bottom"/>
            <w:hideMark/>
          </w:tcPr>
          <w:p w:rsidR="004D343D" w:rsidRPr="00E879CD" w:rsidRDefault="004D343D" w:rsidP="004D343D">
            <w:pPr>
              <w:spacing w:after="0"/>
              <w:rPr>
                <w:sz w:val="20"/>
              </w:rPr>
            </w:pPr>
            <w:r>
              <w:rPr>
                <w:sz w:val="20"/>
              </w:rPr>
              <w:t>Non-financial counterparty subject to EMIR</w:t>
            </w:r>
          </w:p>
        </w:tc>
        <w:tc>
          <w:tcPr>
            <w:tcW w:w="1158" w:type="dxa"/>
            <w:tcBorders>
              <w:top w:val="nil"/>
              <w:left w:val="single" w:sz="4" w:space="0" w:color="000000"/>
              <w:bottom w:val="nil"/>
              <w:right w:val="single" w:sz="4" w:space="0" w:color="000000"/>
            </w:tcBorders>
            <w:shd w:val="clear" w:color="auto" w:fill="auto"/>
            <w:noWrap/>
            <w:vAlign w:val="bottom"/>
            <w:hideMark/>
          </w:tcPr>
          <w:p w:rsidR="004D343D" w:rsidRPr="00E879CD" w:rsidRDefault="004D343D" w:rsidP="004D343D">
            <w:pPr>
              <w:spacing w:after="0"/>
              <w:rPr>
                <w:sz w:val="20"/>
              </w:rPr>
            </w:pPr>
          </w:p>
        </w:tc>
      </w:tr>
      <w:tr w:rsidR="004D343D" w:rsidRPr="00E879CD" w:rsidTr="004D343D">
        <w:trPr>
          <w:trHeight w:val="300"/>
        </w:trPr>
        <w:tc>
          <w:tcPr>
            <w:tcW w:w="4796" w:type="dxa"/>
            <w:tcBorders>
              <w:top w:val="nil"/>
              <w:left w:val="single" w:sz="4" w:space="0" w:color="000000"/>
              <w:bottom w:val="nil"/>
              <w:right w:val="single" w:sz="4" w:space="0" w:color="000000"/>
            </w:tcBorders>
            <w:shd w:val="clear" w:color="D9D9D9" w:fill="D9D9D9"/>
            <w:noWrap/>
            <w:vAlign w:val="bottom"/>
            <w:hideMark/>
          </w:tcPr>
          <w:p w:rsidR="004D343D" w:rsidRPr="00E879CD" w:rsidRDefault="004D343D" w:rsidP="004D343D">
            <w:pPr>
              <w:spacing w:after="0"/>
              <w:rPr>
                <w:sz w:val="20"/>
              </w:rPr>
            </w:pPr>
            <w:r w:rsidRPr="00E879CD">
              <w:rPr>
                <w:sz w:val="20"/>
              </w:rPr>
              <w:t>Regulated markets/Exchanges/Trading Systems</w:t>
            </w:r>
          </w:p>
        </w:tc>
        <w:tc>
          <w:tcPr>
            <w:tcW w:w="1158" w:type="dxa"/>
            <w:tcBorders>
              <w:top w:val="nil"/>
              <w:left w:val="single" w:sz="4" w:space="0" w:color="000000"/>
              <w:bottom w:val="nil"/>
              <w:right w:val="single" w:sz="4" w:space="0" w:color="000000"/>
            </w:tcBorders>
            <w:shd w:val="clear" w:color="D9D9D9" w:fill="D9D9D9"/>
            <w:noWrap/>
            <w:vAlign w:val="bottom"/>
            <w:hideMark/>
          </w:tcPr>
          <w:p w:rsidR="004D343D" w:rsidRPr="00E879CD" w:rsidRDefault="004D343D" w:rsidP="004D343D">
            <w:pPr>
              <w:spacing w:after="0"/>
              <w:rPr>
                <w:sz w:val="20"/>
              </w:rPr>
            </w:pPr>
          </w:p>
        </w:tc>
      </w:tr>
      <w:tr w:rsidR="004D343D" w:rsidRPr="00E879CD" w:rsidTr="004D343D">
        <w:trPr>
          <w:trHeight w:val="300"/>
        </w:trPr>
        <w:tc>
          <w:tcPr>
            <w:tcW w:w="4796" w:type="dxa"/>
            <w:tcBorders>
              <w:top w:val="nil"/>
              <w:left w:val="single" w:sz="4" w:space="0" w:color="000000"/>
              <w:bottom w:val="single" w:sz="4" w:space="0" w:color="000000"/>
              <w:right w:val="single" w:sz="4" w:space="0" w:color="000000"/>
            </w:tcBorders>
            <w:shd w:val="clear" w:color="auto" w:fill="auto"/>
            <w:noWrap/>
            <w:vAlign w:val="bottom"/>
            <w:hideMark/>
          </w:tcPr>
          <w:p w:rsidR="004D343D" w:rsidRPr="00E879CD" w:rsidRDefault="004D343D" w:rsidP="004D343D">
            <w:pPr>
              <w:spacing w:after="0"/>
              <w:rPr>
                <w:sz w:val="20"/>
              </w:rPr>
            </w:pPr>
            <w:r w:rsidRPr="00E879CD">
              <w:rPr>
                <w:sz w:val="20"/>
              </w:rPr>
              <w:t>Other Financial service providers</w:t>
            </w:r>
          </w:p>
        </w:tc>
        <w:tc>
          <w:tcPr>
            <w:tcW w:w="1158" w:type="dxa"/>
            <w:tcBorders>
              <w:top w:val="nil"/>
              <w:left w:val="single" w:sz="4" w:space="0" w:color="000000"/>
              <w:bottom w:val="single" w:sz="4" w:space="0" w:color="000000"/>
              <w:right w:val="single" w:sz="4" w:space="0" w:color="000000"/>
            </w:tcBorders>
            <w:shd w:val="clear" w:color="auto" w:fill="auto"/>
            <w:noWrap/>
            <w:vAlign w:val="bottom"/>
            <w:hideMark/>
          </w:tcPr>
          <w:p w:rsidR="004D343D" w:rsidRPr="00E879CD" w:rsidRDefault="004D343D" w:rsidP="007E4323">
            <w:pPr>
              <w:rPr>
                <w:sz w:val="20"/>
              </w:rPr>
            </w:pPr>
          </w:p>
        </w:tc>
      </w:tr>
    </w:tbl>
    <w:p w:rsidR="004D343D" w:rsidRDefault="004D343D" w:rsidP="00B929D6">
      <w:pPr>
        <w:pStyle w:val="Beschriftung"/>
      </w:pPr>
    </w:p>
    <w:p w:rsidR="004D343D" w:rsidRDefault="004D343D" w:rsidP="004D343D">
      <w:pPr>
        <w:pStyle w:val="MyStyle"/>
        <w:numPr>
          <w:ilvl w:val="0"/>
          <w:numId w:val="9"/>
        </w:numPr>
      </w:pPr>
      <w:r>
        <w:t>Introduction – General comments</w:t>
      </w:r>
    </w:p>
    <w:p w:rsidR="004D343D" w:rsidRDefault="004D343D" w:rsidP="004D343D"/>
    <w:p w:rsidR="004D343D" w:rsidRDefault="00FE5D3A" w:rsidP="00FE5D3A">
      <w:r w:rsidRPr="00FE5D3A">
        <w:t xml:space="preserve">The German </w:t>
      </w:r>
      <w:r w:rsidR="00127981">
        <w:t>I</w:t>
      </w:r>
      <w:r w:rsidRPr="00FE5D3A">
        <w:t xml:space="preserve">nsurance </w:t>
      </w:r>
      <w:r w:rsidR="00127981">
        <w:t>Association</w:t>
      </w:r>
      <w:r w:rsidRPr="00FE5D3A">
        <w:t xml:space="preserve"> appreciates </w:t>
      </w:r>
      <w:r>
        <w:t xml:space="preserve">ESMA’s decision </w:t>
      </w:r>
      <w:r w:rsidR="00127981">
        <w:t xml:space="preserve">of </w:t>
      </w:r>
      <w:r>
        <w:t>publishing a discussion paper on the clearing obligation</w:t>
      </w:r>
      <w:r w:rsidR="00127981">
        <w:t>s</w:t>
      </w:r>
      <w:r>
        <w:t xml:space="preserve"> under EMIR at this early stage and welcomes the </w:t>
      </w:r>
      <w:r w:rsidRPr="00FE5D3A">
        <w:t xml:space="preserve">opportunity of contributing </w:t>
      </w:r>
      <w:r>
        <w:t xml:space="preserve">its </w:t>
      </w:r>
      <w:r w:rsidRPr="00FE5D3A">
        <w:t xml:space="preserve">views </w:t>
      </w:r>
      <w:r>
        <w:t xml:space="preserve">in this respect. </w:t>
      </w:r>
    </w:p>
    <w:p w:rsidR="00F24B78" w:rsidRDefault="00F24B78" w:rsidP="00FE5D3A"/>
    <w:p w:rsidR="004D343D" w:rsidRDefault="00B929D6" w:rsidP="00B929D6">
      <w:pPr>
        <w:pStyle w:val="Beschriftung"/>
      </w:pPr>
      <w:r w:rsidRPr="00B929D6">
        <w:lastRenderedPageBreak/>
        <w:t>Comments on paragraphs 1 to 6:</w:t>
      </w:r>
    </w:p>
    <w:p w:rsidR="00FE5D3A" w:rsidRDefault="00127981" w:rsidP="00FE5D3A">
      <w:r>
        <w:t xml:space="preserve">We have no comments as regards paragraphs 1 to 6. </w:t>
      </w:r>
    </w:p>
    <w:p w:rsidR="00B929D6" w:rsidRDefault="008E441A" w:rsidP="008E441A">
      <w:pPr>
        <w:pStyle w:val="berschrift1"/>
        <w:numPr>
          <w:ilvl w:val="0"/>
          <w:numId w:val="0"/>
        </w:numPr>
        <w:ind w:left="360"/>
      </w:pPr>
      <w:bookmarkStart w:id="6" w:name="_Ref357512985"/>
      <w:bookmarkStart w:id="7" w:name="_Toc357780181"/>
      <w:bookmarkStart w:id="8" w:name="_Toc359318911"/>
      <w:bookmarkStart w:id="9" w:name="_Toc359335084"/>
      <w:bookmarkStart w:id="10" w:name="_Toc359338702"/>
      <w:r>
        <w:t xml:space="preserve">1. </w:t>
      </w:r>
      <w:r w:rsidR="00B929D6">
        <w:t>Procedure for the determination of the classes to be subject to the clearing obligation</w:t>
      </w:r>
      <w:bookmarkEnd w:id="6"/>
      <w:bookmarkEnd w:id="7"/>
      <w:bookmarkEnd w:id="8"/>
      <w:bookmarkEnd w:id="9"/>
      <w:bookmarkEnd w:id="10"/>
    </w:p>
    <w:p w:rsidR="00B929D6" w:rsidRDefault="00B929D6" w:rsidP="00B929D6">
      <w:pPr>
        <w:pStyle w:val="Beschriftung"/>
      </w:pPr>
      <w:r>
        <w:t>Comments on paragraphs 7 to 17:</w:t>
      </w:r>
    </w:p>
    <w:p w:rsidR="00B929D6" w:rsidRDefault="00DE494E" w:rsidP="00B929D6">
      <w:pPr>
        <w:rPr>
          <w:lang w:eastAsia="de-DE"/>
        </w:rPr>
      </w:pPr>
      <w:r w:rsidRPr="00DE494E">
        <w:rPr>
          <w:lang w:eastAsia="de-DE"/>
        </w:rPr>
        <w:t xml:space="preserve">We have no comments as regards paragraphs </w:t>
      </w:r>
      <w:proofErr w:type="gramStart"/>
      <w:r>
        <w:rPr>
          <w:lang w:eastAsia="de-DE"/>
        </w:rPr>
        <w:t>7</w:t>
      </w:r>
      <w:r w:rsidRPr="00DE494E">
        <w:rPr>
          <w:lang w:eastAsia="de-DE"/>
        </w:rPr>
        <w:t xml:space="preserve"> </w:t>
      </w:r>
      <w:r>
        <w:rPr>
          <w:lang w:eastAsia="de-DE"/>
        </w:rPr>
        <w:t xml:space="preserve"> </w:t>
      </w:r>
      <w:r w:rsidRPr="00DE494E">
        <w:rPr>
          <w:lang w:eastAsia="de-DE"/>
        </w:rPr>
        <w:t>to</w:t>
      </w:r>
      <w:proofErr w:type="gramEnd"/>
      <w:r w:rsidRPr="00DE494E">
        <w:rPr>
          <w:lang w:eastAsia="de-DE"/>
        </w:rPr>
        <w:t xml:space="preserve"> </w:t>
      </w:r>
      <w:r>
        <w:rPr>
          <w:lang w:eastAsia="de-DE"/>
        </w:rPr>
        <w:t>17</w:t>
      </w:r>
      <w:r w:rsidRPr="00DE494E">
        <w:rPr>
          <w:lang w:eastAsia="de-DE"/>
        </w:rPr>
        <w:t>.</w:t>
      </w:r>
    </w:p>
    <w:p w:rsidR="000A0AD9" w:rsidRDefault="008E441A" w:rsidP="008E441A">
      <w:pPr>
        <w:pStyle w:val="berschrift1"/>
        <w:numPr>
          <w:ilvl w:val="0"/>
          <w:numId w:val="0"/>
        </w:numPr>
        <w:ind w:left="360"/>
      </w:pPr>
      <w:r>
        <w:t xml:space="preserve">2. </w:t>
      </w:r>
      <w:r w:rsidR="000A0AD9" w:rsidRPr="000A0AD9">
        <w:t>CCP-cleared classes of OTC derivative</w:t>
      </w:r>
      <w:bookmarkEnd w:id="0"/>
      <w:bookmarkEnd w:id="1"/>
      <w:bookmarkEnd w:id="2"/>
      <w:r w:rsidR="000A0AD9" w:rsidRPr="000A0AD9">
        <w:t>s</w:t>
      </w:r>
      <w:bookmarkEnd w:id="3"/>
      <w:bookmarkEnd w:id="4"/>
    </w:p>
    <w:p w:rsidR="00B929D6" w:rsidRDefault="00B929D6" w:rsidP="00B929D6">
      <w:pPr>
        <w:pStyle w:val="Beschriftung"/>
      </w:pPr>
      <w:r>
        <w:t>Comments on paragraphs 18 to 30:</w:t>
      </w:r>
    </w:p>
    <w:p w:rsidR="00DE494E" w:rsidRDefault="00DE494E" w:rsidP="00DE494E">
      <w:pPr>
        <w:rPr>
          <w:lang w:eastAsia="de-DE"/>
        </w:rPr>
      </w:pPr>
      <w:bookmarkStart w:id="11" w:name="_Toc357780185"/>
      <w:bookmarkStart w:id="12" w:name="_Toc359335088"/>
      <w:r w:rsidRPr="00DE494E">
        <w:rPr>
          <w:lang w:eastAsia="de-DE"/>
        </w:rPr>
        <w:t xml:space="preserve">We have no comments as regards paragraphs </w:t>
      </w:r>
      <w:r>
        <w:rPr>
          <w:lang w:eastAsia="de-DE"/>
        </w:rPr>
        <w:t>18</w:t>
      </w:r>
      <w:r w:rsidRPr="00DE494E">
        <w:rPr>
          <w:lang w:eastAsia="de-DE"/>
        </w:rPr>
        <w:t xml:space="preserve"> </w:t>
      </w:r>
      <w:r>
        <w:rPr>
          <w:lang w:eastAsia="de-DE"/>
        </w:rPr>
        <w:t>to</w:t>
      </w:r>
      <w:r w:rsidRPr="00DE494E">
        <w:rPr>
          <w:lang w:eastAsia="de-DE"/>
        </w:rPr>
        <w:t xml:space="preserve"> </w:t>
      </w:r>
      <w:r>
        <w:rPr>
          <w:lang w:eastAsia="de-DE"/>
        </w:rPr>
        <w:t>30</w:t>
      </w:r>
      <w:r w:rsidRPr="00DE494E">
        <w:rPr>
          <w:lang w:eastAsia="de-DE"/>
        </w:rPr>
        <w:t>.</w:t>
      </w:r>
    </w:p>
    <w:p w:rsidR="000A0AD9" w:rsidRDefault="008E441A" w:rsidP="008E441A">
      <w:pPr>
        <w:pStyle w:val="berschrift2"/>
        <w:numPr>
          <w:ilvl w:val="0"/>
          <w:numId w:val="0"/>
        </w:numPr>
        <w:ind w:left="1425"/>
      </w:pPr>
      <w:r>
        <w:t xml:space="preserve">2.1 </w:t>
      </w:r>
      <w:r w:rsidR="000A0AD9" w:rsidRPr="00DD1A9A">
        <w:t>Credit derivatives</w:t>
      </w:r>
      <w:bookmarkEnd w:id="11"/>
      <w:bookmarkEnd w:id="12"/>
    </w:p>
    <w:p w:rsidR="00B929D6" w:rsidRDefault="00B929D6" w:rsidP="00B929D6">
      <w:pPr>
        <w:pStyle w:val="Beschriftung"/>
      </w:pPr>
      <w:r>
        <w:t>Comments on paragraphs 31 to 39:</w:t>
      </w:r>
    </w:p>
    <w:p w:rsidR="00DE494E" w:rsidRDefault="00DE494E" w:rsidP="00DE494E">
      <w:pPr>
        <w:rPr>
          <w:lang w:eastAsia="de-DE"/>
        </w:rPr>
      </w:pPr>
      <w:r w:rsidRPr="00DE494E">
        <w:rPr>
          <w:lang w:eastAsia="de-DE"/>
        </w:rPr>
        <w:t xml:space="preserve">We have no </w:t>
      </w:r>
      <w:r>
        <w:rPr>
          <w:lang w:eastAsia="de-DE"/>
        </w:rPr>
        <w:t xml:space="preserve">additional </w:t>
      </w:r>
      <w:r w:rsidRPr="00DE494E">
        <w:rPr>
          <w:lang w:eastAsia="de-DE"/>
        </w:rPr>
        <w:t xml:space="preserve">comments as regards paragraphs </w:t>
      </w:r>
      <w:r>
        <w:rPr>
          <w:lang w:eastAsia="de-DE"/>
        </w:rPr>
        <w:t>31</w:t>
      </w:r>
      <w:r w:rsidRPr="00DE494E">
        <w:rPr>
          <w:lang w:eastAsia="de-DE"/>
        </w:rPr>
        <w:t xml:space="preserve"> to </w:t>
      </w:r>
      <w:r>
        <w:rPr>
          <w:lang w:eastAsia="de-DE"/>
        </w:rPr>
        <w:t>39</w:t>
      </w:r>
      <w:r w:rsidRPr="00DE494E">
        <w:rPr>
          <w:lang w:eastAsia="de-DE"/>
        </w:rPr>
        <w:t>.</w:t>
      </w:r>
    </w:p>
    <w:p w:rsidR="00741028" w:rsidRPr="00723FB6" w:rsidRDefault="00741028" w:rsidP="00B929D6">
      <w:pPr>
        <w:pStyle w:val="Bold"/>
      </w:pPr>
      <w:r w:rsidRPr="00723FB6">
        <w:t xml:space="preserve">Question 1 (Series for Index CDS): </w:t>
      </w:r>
    </w:p>
    <w:p w:rsidR="00561C14" w:rsidRDefault="00561C14" w:rsidP="00B929D6">
      <w:pPr>
        <w:pStyle w:val="Beschriftung"/>
        <w:rPr>
          <w:b w:val="0"/>
          <w:bCs w:val="0"/>
          <w:color w:val="auto"/>
          <w:szCs w:val="20"/>
        </w:rPr>
      </w:pPr>
      <w:r w:rsidRPr="00561C14">
        <w:rPr>
          <w:b w:val="0"/>
          <w:bCs w:val="0"/>
          <w:color w:val="auto"/>
          <w:szCs w:val="20"/>
        </w:rPr>
        <w:t>Please indicate your preference between the options presented. Do you believe that the possibility for a new series to exhibit low liquidity is a risk worth being considered when defining the classes of Index CDS? Under Option C, which criteria do you believe are relevant and how should they be calibrated?</w:t>
      </w:r>
    </w:p>
    <w:p w:rsidR="00BE1539" w:rsidRDefault="00BE1539" w:rsidP="00B929D6">
      <w:pPr>
        <w:pStyle w:val="Beschriftung"/>
      </w:pPr>
      <w:r w:rsidRPr="00BE1539">
        <w:t xml:space="preserve">Answer </w:t>
      </w:r>
      <w:r w:rsidR="00961902">
        <w:t>1</w:t>
      </w:r>
      <w:r w:rsidR="000B7E3A">
        <w:t>:</w:t>
      </w:r>
    </w:p>
    <w:p w:rsidR="00D077AD" w:rsidRDefault="00D077AD" w:rsidP="00D077AD">
      <w:r>
        <w:t xml:space="preserve">We </w:t>
      </w:r>
      <w:r w:rsidR="00DE494E">
        <w:t xml:space="preserve">would </w:t>
      </w:r>
      <w:r>
        <w:t xml:space="preserve">prefer Option </w:t>
      </w:r>
      <w:proofErr w:type="gramStart"/>
      <w:r>
        <w:t>A</w:t>
      </w:r>
      <w:proofErr w:type="gramEnd"/>
      <w:r>
        <w:t xml:space="preserve"> followed by Option B.</w:t>
      </w:r>
    </w:p>
    <w:p w:rsidR="00D077AD" w:rsidRDefault="00D077AD" w:rsidP="00D077AD">
      <w:r>
        <w:t>The risk of low liquidity for the on the run series is very low. Market participants roll positions into the new series and create liquidity in particular once the series starts trading on 20.3 or 20.9.</w:t>
      </w:r>
    </w:p>
    <w:p w:rsidR="00D077AD" w:rsidRPr="00D077AD" w:rsidRDefault="00D077AD" w:rsidP="00D077AD">
      <w:r>
        <w:t>The drawbacks of Option C are already mentioned and include “the series to fall in and out of the clearing obligation at an inappropriate frequency”.</w:t>
      </w:r>
    </w:p>
    <w:p w:rsidR="000B7E3A" w:rsidRPr="000B7E3A" w:rsidRDefault="000B7E3A" w:rsidP="000B7E3A"/>
    <w:p w:rsidR="00741028" w:rsidRPr="00730532" w:rsidRDefault="00741028" w:rsidP="00B929D6">
      <w:pPr>
        <w:pStyle w:val="Bold"/>
      </w:pPr>
      <w:r w:rsidRPr="00730532">
        <w:t xml:space="preserve">Question 2 (Index CDS): </w:t>
      </w:r>
    </w:p>
    <w:p w:rsidR="00561C14" w:rsidRDefault="00561C14" w:rsidP="00B929D6">
      <w:pPr>
        <w:pStyle w:val="Beschriftung"/>
        <w:rPr>
          <w:b w:val="0"/>
          <w:bCs w:val="0"/>
          <w:color w:val="auto"/>
          <w:szCs w:val="20"/>
        </w:rPr>
      </w:pPr>
      <w:r w:rsidRPr="00561C14">
        <w:rPr>
          <w:b w:val="0"/>
          <w:bCs w:val="0"/>
          <w:color w:val="auto"/>
          <w:szCs w:val="20"/>
        </w:rPr>
        <w:t>Do you consider that the main characteristics of Index CDS are adequately captured by the proposed structure? Are there any other variables which you consider as relevant in the context of the clearing obligation?</w:t>
      </w:r>
    </w:p>
    <w:p w:rsidR="00BE1539" w:rsidRDefault="00BE1539" w:rsidP="00B929D6">
      <w:pPr>
        <w:pStyle w:val="Beschriftung"/>
      </w:pPr>
      <w:r>
        <w:t xml:space="preserve">Answer </w:t>
      </w:r>
      <w:r w:rsidR="00961902">
        <w:t>2</w:t>
      </w:r>
      <w:r w:rsidR="000B7E3A">
        <w:t>:</w:t>
      </w:r>
    </w:p>
    <w:p w:rsidR="00D077AD" w:rsidRPr="007A3FF7" w:rsidRDefault="00D077AD" w:rsidP="00D077AD">
      <w:r w:rsidRPr="007A3FF7">
        <w:t>Yes, the characteristics are adequately captured.</w:t>
      </w:r>
    </w:p>
    <w:p w:rsidR="00BE1539" w:rsidRPr="00BE1539" w:rsidRDefault="00BE1539" w:rsidP="00BE1539"/>
    <w:p w:rsidR="00741028" w:rsidRPr="00741028" w:rsidRDefault="00741028" w:rsidP="00B929D6">
      <w:pPr>
        <w:pStyle w:val="Bold"/>
      </w:pPr>
      <w:r w:rsidRPr="00741028">
        <w:t xml:space="preserve">Question 3 (Index CDS): </w:t>
      </w:r>
    </w:p>
    <w:p w:rsidR="00741028" w:rsidRDefault="00561C14" w:rsidP="00D54F70">
      <w:r w:rsidRPr="00561C14">
        <w:t>Do you have preliminary views on the specific items within those classes which would be the best candidates for the clearing obligation, taking into consideration the overarching aim of reducing systemic risk and the criteria defined in Article 5(4) of EMIR?</w:t>
      </w:r>
      <w:r w:rsidR="00741028" w:rsidRPr="00741028">
        <w:tab/>
      </w:r>
    </w:p>
    <w:p w:rsidR="00BE1539" w:rsidRDefault="00BE1539" w:rsidP="00B929D6">
      <w:pPr>
        <w:pStyle w:val="Beschriftung"/>
      </w:pPr>
      <w:r>
        <w:t xml:space="preserve">Answer </w:t>
      </w:r>
      <w:r w:rsidR="00961902">
        <w:t>3</w:t>
      </w:r>
      <w:r w:rsidR="000B7E3A">
        <w:t>:</w:t>
      </w:r>
    </w:p>
    <w:p w:rsidR="00D077AD" w:rsidRPr="007A3FF7" w:rsidRDefault="00FE5D3A" w:rsidP="00D077AD">
      <w:r>
        <w:t xml:space="preserve">We believe, the </w:t>
      </w:r>
      <w:r w:rsidR="00DE494E">
        <w:t>on the run series tenor 5-</w:t>
      </w:r>
      <w:r w:rsidR="00D077AD" w:rsidRPr="007A3FF7">
        <w:t>year are most relevant.</w:t>
      </w:r>
    </w:p>
    <w:p w:rsidR="0024278C" w:rsidRDefault="0024278C" w:rsidP="005F1A98"/>
    <w:p w:rsidR="0024278C" w:rsidRDefault="0024278C" w:rsidP="0024278C">
      <w:pPr>
        <w:pStyle w:val="Beschriftung"/>
      </w:pPr>
      <w:r>
        <w:t>Comments on paragraph</w:t>
      </w:r>
      <w:r w:rsidR="004C273E">
        <w:t>s</w:t>
      </w:r>
      <w:r>
        <w:t xml:space="preserve"> 41 to 44:</w:t>
      </w:r>
    </w:p>
    <w:p w:rsidR="00DE494E" w:rsidRDefault="00DE494E" w:rsidP="00DE494E">
      <w:pPr>
        <w:rPr>
          <w:lang w:eastAsia="de-DE"/>
        </w:rPr>
      </w:pPr>
      <w:r w:rsidRPr="00DE494E">
        <w:rPr>
          <w:lang w:eastAsia="de-DE"/>
        </w:rPr>
        <w:t xml:space="preserve">We have no </w:t>
      </w:r>
      <w:r>
        <w:rPr>
          <w:lang w:eastAsia="de-DE"/>
        </w:rPr>
        <w:t xml:space="preserve">additional </w:t>
      </w:r>
      <w:r w:rsidRPr="00DE494E">
        <w:rPr>
          <w:lang w:eastAsia="de-DE"/>
        </w:rPr>
        <w:t xml:space="preserve">comments as regards paragraphs </w:t>
      </w:r>
      <w:r>
        <w:rPr>
          <w:lang w:eastAsia="de-DE"/>
        </w:rPr>
        <w:t>41</w:t>
      </w:r>
      <w:r w:rsidRPr="00DE494E">
        <w:rPr>
          <w:lang w:eastAsia="de-DE"/>
        </w:rPr>
        <w:t xml:space="preserve"> to </w:t>
      </w:r>
      <w:r>
        <w:rPr>
          <w:lang w:eastAsia="de-DE"/>
        </w:rPr>
        <w:t>44</w:t>
      </w:r>
      <w:r w:rsidRPr="00DE494E">
        <w:rPr>
          <w:lang w:eastAsia="de-DE"/>
        </w:rPr>
        <w:t>.</w:t>
      </w:r>
    </w:p>
    <w:p w:rsidR="00741028" w:rsidRDefault="00741028" w:rsidP="00B929D6">
      <w:pPr>
        <w:pStyle w:val="Bold"/>
      </w:pPr>
      <w:r w:rsidRPr="00741028">
        <w:t>Question 4 (Single name CDS):</w:t>
      </w:r>
      <w:r w:rsidRPr="00741028">
        <w:tab/>
      </w:r>
    </w:p>
    <w:p w:rsidR="00561C14" w:rsidRPr="00561C14" w:rsidRDefault="00561C14" w:rsidP="00561C14">
      <w:r w:rsidRPr="00561C14">
        <w:t>Please indicate your preference between the options presented. In relation to Option B, which geographical zones would you define, i.e. how could the currencies be grouped in geographical zones? What is the standard market practise in this respect?</w:t>
      </w:r>
    </w:p>
    <w:p w:rsidR="00BE1539" w:rsidRDefault="00BE1539" w:rsidP="00B929D6">
      <w:pPr>
        <w:pStyle w:val="Beschriftung"/>
      </w:pPr>
      <w:r>
        <w:t xml:space="preserve">Answer </w:t>
      </w:r>
      <w:r w:rsidR="00961902">
        <w:t>4</w:t>
      </w:r>
      <w:r w:rsidR="000B7E3A">
        <w:t>:</w:t>
      </w:r>
    </w:p>
    <w:p w:rsidR="00D077AD" w:rsidRPr="007A3FF7" w:rsidRDefault="00D077AD" w:rsidP="00D077AD">
      <w:r w:rsidRPr="007A3FF7">
        <w:t>We</w:t>
      </w:r>
      <w:r w:rsidR="00DE494E">
        <w:t xml:space="preserve"> would</w:t>
      </w:r>
      <w:r w:rsidRPr="007A3FF7">
        <w:t xml:space="preserve"> prefer Option A. </w:t>
      </w:r>
    </w:p>
    <w:p w:rsidR="00D077AD" w:rsidRPr="007A3FF7" w:rsidRDefault="00D077AD" w:rsidP="00D077AD">
      <w:r w:rsidRPr="007A3FF7">
        <w:t>For Option B the geographical zones could be defined acco</w:t>
      </w:r>
      <w:r>
        <w:t>rding to the index CDS market (Europe/North America/</w:t>
      </w:r>
      <w:r w:rsidRPr="007A3FF7">
        <w:t>Emerging Markets).</w:t>
      </w:r>
    </w:p>
    <w:p w:rsidR="00BE1539" w:rsidRDefault="00BE1539" w:rsidP="00BE1539"/>
    <w:p w:rsidR="0024278C" w:rsidRDefault="0024278C" w:rsidP="0024278C">
      <w:pPr>
        <w:pStyle w:val="Beschriftung"/>
      </w:pPr>
      <w:r>
        <w:t>Comments on paragraph</w:t>
      </w:r>
      <w:r w:rsidR="004C273E">
        <w:t>s</w:t>
      </w:r>
      <w:r>
        <w:t xml:space="preserve"> 45 to 50:</w:t>
      </w:r>
    </w:p>
    <w:p w:rsidR="00DE494E" w:rsidRDefault="00DE494E" w:rsidP="00DE494E">
      <w:pPr>
        <w:rPr>
          <w:lang w:eastAsia="de-DE"/>
        </w:rPr>
      </w:pPr>
      <w:r w:rsidRPr="00DE494E">
        <w:rPr>
          <w:lang w:eastAsia="de-DE"/>
        </w:rPr>
        <w:t xml:space="preserve">We have no </w:t>
      </w:r>
      <w:r>
        <w:rPr>
          <w:lang w:eastAsia="de-DE"/>
        </w:rPr>
        <w:t xml:space="preserve">additional </w:t>
      </w:r>
      <w:r w:rsidRPr="00DE494E">
        <w:rPr>
          <w:lang w:eastAsia="de-DE"/>
        </w:rPr>
        <w:t xml:space="preserve">comments as regards paragraphs </w:t>
      </w:r>
      <w:r>
        <w:rPr>
          <w:lang w:eastAsia="de-DE"/>
        </w:rPr>
        <w:t>45</w:t>
      </w:r>
      <w:r w:rsidRPr="00DE494E">
        <w:rPr>
          <w:lang w:eastAsia="de-DE"/>
        </w:rPr>
        <w:t xml:space="preserve"> to </w:t>
      </w:r>
      <w:r>
        <w:rPr>
          <w:lang w:eastAsia="de-DE"/>
        </w:rPr>
        <w:t>50</w:t>
      </w:r>
      <w:r w:rsidRPr="00DE494E">
        <w:rPr>
          <w:lang w:eastAsia="de-DE"/>
        </w:rPr>
        <w:t>.</w:t>
      </w:r>
    </w:p>
    <w:p w:rsidR="0024278C" w:rsidRPr="00BE1539" w:rsidRDefault="0024278C" w:rsidP="00BE1539"/>
    <w:p w:rsidR="00741028" w:rsidRDefault="00741028" w:rsidP="00B929D6">
      <w:pPr>
        <w:pStyle w:val="Bold"/>
      </w:pPr>
      <w:r w:rsidRPr="00741028">
        <w:t>Question 5 (Single name CDS):</w:t>
      </w:r>
      <w:r w:rsidRPr="00741028">
        <w:tab/>
      </w:r>
    </w:p>
    <w:p w:rsidR="00561C14" w:rsidRDefault="00561C14" w:rsidP="0024278C">
      <w:pPr>
        <w:pStyle w:val="Beschriftung"/>
        <w:rPr>
          <w:b w:val="0"/>
          <w:bCs w:val="0"/>
          <w:color w:val="auto"/>
          <w:szCs w:val="20"/>
        </w:rPr>
      </w:pPr>
      <w:r w:rsidRPr="00561C14">
        <w:rPr>
          <w:b w:val="0"/>
          <w:bCs w:val="0"/>
          <w:color w:val="auto"/>
          <w:szCs w:val="20"/>
        </w:rPr>
        <w:t>Please indicate your preference between the options presented. Under Option C, which criteria do you believe are relevant and how should they be calibrated?</w:t>
      </w:r>
    </w:p>
    <w:p w:rsidR="0024278C" w:rsidRDefault="00BE1539" w:rsidP="007F578D">
      <w:pPr>
        <w:pStyle w:val="Beschriftung"/>
      </w:pPr>
      <w:r>
        <w:t xml:space="preserve">Answer </w:t>
      </w:r>
      <w:r w:rsidR="00961902">
        <w:t>5</w:t>
      </w:r>
      <w:r w:rsidR="000B7E3A">
        <w:t>:</w:t>
      </w:r>
    </w:p>
    <w:p w:rsidR="00C919B2" w:rsidRPr="007A3FF7" w:rsidRDefault="00C919B2" w:rsidP="00C919B2">
      <w:r w:rsidRPr="007A3FF7">
        <w:t xml:space="preserve">We </w:t>
      </w:r>
      <w:r w:rsidR="00DE494E">
        <w:t xml:space="preserve">would </w:t>
      </w:r>
      <w:r w:rsidRPr="007A3FF7">
        <w:t>prefer Option B.</w:t>
      </w:r>
    </w:p>
    <w:p w:rsidR="0024278C" w:rsidRPr="00BE1539" w:rsidRDefault="0024278C" w:rsidP="00BE1539"/>
    <w:p w:rsidR="00741028" w:rsidRPr="00741028" w:rsidRDefault="00741028" w:rsidP="00B929D6">
      <w:pPr>
        <w:pStyle w:val="Bold"/>
      </w:pPr>
      <w:r w:rsidRPr="00741028">
        <w:t xml:space="preserve">Question 6 (Single name CDS): </w:t>
      </w:r>
    </w:p>
    <w:p w:rsidR="00741028" w:rsidRDefault="00561C14" w:rsidP="00D54F70">
      <w:r w:rsidRPr="00561C14">
        <w:t>Do you consider that the main characteristics of Single Name CDS are adequately captured by the proposed structure? Are there any other variables which you consider as relevant in the context of the clearing obligation?</w:t>
      </w:r>
      <w:r w:rsidR="00741028" w:rsidRPr="00741028">
        <w:tab/>
      </w:r>
    </w:p>
    <w:p w:rsidR="00BE1539" w:rsidRDefault="00BE1539" w:rsidP="00B929D6">
      <w:pPr>
        <w:pStyle w:val="Beschriftung"/>
      </w:pPr>
      <w:r>
        <w:t xml:space="preserve">Answer </w:t>
      </w:r>
      <w:r w:rsidR="00961902">
        <w:t>6</w:t>
      </w:r>
      <w:r w:rsidR="000B7E3A">
        <w:t>:</w:t>
      </w:r>
    </w:p>
    <w:p w:rsidR="00C919B2" w:rsidRPr="007A3FF7" w:rsidRDefault="00C919B2" w:rsidP="00C919B2">
      <w:r w:rsidRPr="007A3FF7">
        <w:t xml:space="preserve">The proposed structure </w:t>
      </w:r>
      <w:r w:rsidR="00DE494E">
        <w:t xml:space="preserve">seems </w:t>
      </w:r>
      <w:r w:rsidRPr="007A3FF7">
        <w:t>adequate.</w:t>
      </w:r>
    </w:p>
    <w:p w:rsidR="0024278C" w:rsidRPr="00BE1539" w:rsidRDefault="0024278C" w:rsidP="00BE1539"/>
    <w:p w:rsidR="00741028" w:rsidRPr="00741028" w:rsidRDefault="00741028" w:rsidP="00B929D6">
      <w:pPr>
        <w:pStyle w:val="Bold"/>
      </w:pPr>
      <w:r w:rsidRPr="00741028">
        <w:t xml:space="preserve">Question 7 (Single name CDS): </w:t>
      </w:r>
    </w:p>
    <w:p w:rsidR="00741028" w:rsidRDefault="00561C14" w:rsidP="00D54F70">
      <w:r w:rsidRPr="00561C14">
        <w:t>Do you have preliminary views on the specific items within those classes which would be the best candidates for the clearing obligation, taking into consideration the overarching aim of reducing systemic risk and the criteria defined in Article 5(4) of EMIR?</w:t>
      </w:r>
      <w:r w:rsidR="00741028" w:rsidRPr="00741028">
        <w:tab/>
      </w:r>
    </w:p>
    <w:p w:rsidR="00590BC4" w:rsidRDefault="00BE1539" w:rsidP="007F578D">
      <w:pPr>
        <w:pStyle w:val="Beschriftung"/>
      </w:pPr>
      <w:r>
        <w:t xml:space="preserve">Answer </w:t>
      </w:r>
      <w:r w:rsidR="00961902">
        <w:t>7</w:t>
      </w:r>
      <w:r w:rsidR="000B7E3A">
        <w:t>:</w:t>
      </w:r>
    </w:p>
    <w:p w:rsidR="00C919B2" w:rsidRPr="007A3FF7" w:rsidRDefault="00C919B2" w:rsidP="00C919B2">
      <w:r w:rsidRPr="007A3FF7">
        <w:t>The 5</w:t>
      </w:r>
      <w:r w:rsidR="00DE494E">
        <w:t xml:space="preserve">-year </w:t>
      </w:r>
      <w:r w:rsidRPr="007A3FF7">
        <w:t xml:space="preserve">tenor </w:t>
      </w:r>
      <w:r w:rsidR="00DE494E">
        <w:t xml:space="preserve">seems </w:t>
      </w:r>
      <w:r w:rsidRPr="007A3FF7">
        <w:t>most relevant.</w:t>
      </w:r>
    </w:p>
    <w:p w:rsidR="005F1A98" w:rsidRPr="005F1A98" w:rsidRDefault="005F1A98" w:rsidP="005F1A98"/>
    <w:p w:rsidR="000A0AD9" w:rsidRDefault="008E441A" w:rsidP="008E441A">
      <w:pPr>
        <w:pStyle w:val="berschrift2"/>
        <w:numPr>
          <w:ilvl w:val="0"/>
          <w:numId w:val="0"/>
        </w:numPr>
        <w:ind w:left="1425"/>
      </w:pPr>
      <w:bookmarkStart w:id="13" w:name="_Toc357780188"/>
      <w:bookmarkStart w:id="14" w:name="_Toc359335089"/>
      <w:r>
        <w:t xml:space="preserve">2.2 </w:t>
      </w:r>
      <w:r w:rsidR="000A0AD9">
        <w:t>Interest rate</w:t>
      </w:r>
      <w:r w:rsidR="000A0AD9" w:rsidRPr="003216C8">
        <w:t xml:space="preserve"> derivatives</w:t>
      </w:r>
      <w:bookmarkEnd w:id="13"/>
      <w:bookmarkEnd w:id="14"/>
    </w:p>
    <w:p w:rsidR="00590BC4" w:rsidRDefault="00590BC4" w:rsidP="00590BC4">
      <w:pPr>
        <w:pStyle w:val="Beschriftung"/>
      </w:pPr>
      <w:r>
        <w:t>Comments on paragraphs 52 to 58:</w:t>
      </w:r>
    </w:p>
    <w:p w:rsidR="00DE494E" w:rsidRDefault="00DE494E" w:rsidP="00DE494E">
      <w:pPr>
        <w:rPr>
          <w:lang w:eastAsia="de-DE"/>
        </w:rPr>
      </w:pPr>
      <w:r w:rsidRPr="00DE494E">
        <w:rPr>
          <w:lang w:eastAsia="de-DE"/>
        </w:rPr>
        <w:t xml:space="preserve">We have no </w:t>
      </w:r>
      <w:r>
        <w:rPr>
          <w:lang w:eastAsia="de-DE"/>
        </w:rPr>
        <w:t xml:space="preserve">additional </w:t>
      </w:r>
      <w:r w:rsidRPr="00DE494E">
        <w:rPr>
          <w:lang w:eastAsia="de-DE"/>
        </w:rPr>
        <w:t xml:space="preserve">comments as regards paragraphs </w:t>
      </w:r>
      <w:r>
        <w:rPr>
          <w:lang w:eastAsia="de-DE"/>
        </w:rPr>
        <w:t>52</w:t>
      </w:r>
      <w:r w:rsidRPr="00DE494E">
        <w:rPr>
          <w:lang w:eastAsia="de-DE"/>
        </w:rPr>
        <w:t xml:space="preserve"> to </w:t>
      </w:r>
      <w:r>
        <w:rPr>
          <w:lang w:eastAsia="de-DE"/>
        </w:rPr>
        <w:t>58</w:t>
      </w:r>
      <w:r w:rsidRPr="00DE494E">
        <w:rPr>
          <w:lang w:eastAsia="de-DE"/>
        </w:rPr>
        <w:t>.</w:t>
      </w:r>
    </w:p>
    <w:p w:rsidR="00741028" w:rsidRPr="00741028" w:rsidRDefault="00741028" w:rsidP="00B929D6">
      <w:pPr>
        <w:pStyle w:val="Bold"/>
      </w:pPr>
      <w:r w:rsidRPr="00741028">
        <w:t xml:space="preserve">Question 8 (Interest rate derivatives): </w:t>
      </w:r>
    </w:p>
    <w:p w:rsidR="00561C14" w:rsidRDefault="00561C14" w:rsidP="000B7E3A">
      <w:pPr>
        <w:pStyle w:val="Beschriftung"/>
        <w:rPr>
          <w:b w:val="0"/>
          <w:bCs w:val="0"/>
          <w:color w:val="auto"/>
          <w:szCs w:val="20"/>
        </w:rPr>
      </w:pPr>
      <w:r w:rsidRPr="00561C14">
        <w:rPr>
          <w:b w:val="0"/>
          <w:bCs w:val="0"/>
          <w:color w:val="auto"/>
          <w:szCs w:val="20"/>
        </w:rPr>
        <w:t>Do you consider that the main characteristics of the interest rate derivatives are adequately captured by the proposed structure? Are there any other variables which you consider as relevant in the context of the clearing obligation?</w:t>
      </w:r>
    </w:p>
    <w:p w:rsidR="00BE1539" w:rsidRDefault="00BE1539" w:rsidP="000B7E3A">
      <w:pPr>
        <w:pStyle w:val="Beschriftung"/>
      </w:pPr>
      <w:r>
        <w:t xml:space="preserve">Answer </w:t>
      </w:r>
      <w:r w:rsidR="00961902">
        <w:t>8</w:t>
      </w:r>
      <w:r w:rsidR="000B7E3A">
        <w:t>:</w:t>
      </w:r>
    </w:p>
    <w:p w:rsidR="00C919B2" w:rsidRPr="00B07B68" w:rsidRDefault="00FE5D3A" w:rsidP="00C919B2">
      <w:r>
        <w:t xml:space="preserve">The following </w:t>
      </w:r>
      <w:r w:rsidR="00C919B2" w:rsidRPr="00B07B68">
        <w:t xml:space="preserve">key characteristics </w:t>
      </w:r>
      <w:r w:rsidR="00DE494E">
        <w:t xml:space="preserve">might be </w:t>
      </w:r>
      <w:r>
        <w:t xml:space="preserve">missing </w:t>
      </w:r>
      <w:r w:rsidR="00C919B2" w:rsidRPr="00B07B68">
        <w:t>from a trading perspective:</w:t>
      </w:r>
    </w:p>
    <w:p w:rsidR="00CB7264" w:rsidRDefault="00CB7264" w:rsidP="00CB7264">
      <w:pPr>
        <w:pStyle w:val="Listenabsatz"/>
        <w:numPr>
          <w:ilvl w:val="0"/>
          <w:numId w:val="10"/>
        </w:numPr>
      </w:pPr>
      <w:r>
        <w:t xml:space="preserve">In Table 8 (Fixed-to-float Class) and Table 9 (Basis swap Class): </w:t>
      </w:r>
    </w:p>
    <w:p w:rsidR="00DE494E" w:rsidRDefault="00DE494E" w:rsidP="00CB7264">
      <w:pPr>
        <w:pStyle w:val="Listenabsatz"/>
      </w:pPr>
      <w:r>
        <w:t xml:space="preserve">- </w:t>
      </w:r>
      <w:r w:rsidR="00CB7264">
        <w:t xml:space="preserve">Tenor of floating rate (e.g. 3 month or 6 month), </w:t>
      </w:r>
    </w:p>
    <w:p w:rsidR="00DE494E" w:rsidRDefault="00DE494E" w:rsidP="00CB7264">
      <w:pPr>
        <w:pStyle w:val="Listenabsatz"/>
      </w:pPr>
      <w:r>
        <w:t xml:space="preserve">- </w:t>
      </w:r>
      <w:proofErr w:type="gramStart"/>
      <w:r w:rsidR="00CB7264">
        <w:t>payment</w:t>
      </w:r>
      <w:proofErr w:type="gramEnd"/>
      <w:r w:rsidR="00CB7264">
        <w:t xml:space="preserve"> frequency (for floating and fixed leg), </w:t>
      </w:r>
    </w:p>
    <w:p w:rsidR="00DE494E" w:rsidRDefault="00DE494E" w:rsidP="00CB7264">
      <w:pPr>
        <w:pStyle w:val="Listenabsatz"/>
      </w:pPr>
      <w:r>
        <w:t xml:space="preserve">- </w:t>
      </w:r>
      <w:r w:rsidR="00CB7264">
        <w:t xml:space="preserve">reset frequency for floating leg, </w:t>
      </w:r>
    </w:p>
    <w:p w:rsidR="00326C9D" w:rsidRDefault="00DE494E" w:rsidP="00CB7264">
      <w:pPr>
        <w:pStyle w:val="Listenabsatz"/>
      </w:pPr>
      <w:r>
        <w:t xml:space="preserve">- </w:t>
      </w:r>
      <w:proofErr w:type="gramStart"/>
      <w:r w:rsidR="00CB7264">
        <w:t>day</w:t>
      </w:r>
      <w:proofErr w:type="gramEnd"/>
      <w:r w:rsidR="00CB7264">
        <w:t xml:space="preserve"> count fraction (e. g. Act/365, Act/360). </w:t>
      </w:r>
    </w:p>
    <w:p w:rsidR="00CB7264" w:rsidRDefault="00326C9D" w:rsidP="00CB7264">
      <w:pPr>
        <w:pStyle w:val="Listenabsatz"/>
      </w:pPr>
      <w:r>
        <w:br/>
      </w:r>
      <w:r w:rsidR="00CB7264">
        <w:t xml:space="preserve">With regard to the distinction of captured products there </w:t>
      </w:r>
      <w:r>
        <w:t xml:space="preserve">might </w:t>
      </w:r>
      <w:r w:rsidR="00CB7264">
        <w:t xml:space="preserve">be room for interpretation. </w:t>
      </w:r>
      <w:r>
        <w:t>It might be f</w:t>
      </w:r>
      <w:r w:rsidR="00CB7264">
        <w:t>or example unclear, if IRS with a spread on the floating rate would have to be cleared or not</w:t>
      </w:r>
      <w:r>
        <w:t>.</w:t>
      </w:r>
      <w:r>
        <w:br/>
      </w:r>
    </w:p>
    <w:p w:rsidR="00CB7264" w:rsidRDefault="00CB7264" w:rsidP="00CB7264">
      <w:pPr>
        <w:pStyle w:val="Listenabsatz"/>
        <w:numPr>
          <w:ilvl w:val="0"/>
          <w:numId w:val="10"/>
        </w:numPr>
      </w:pPr>
      <w:r>
        <w:t xml:space="preserve">In Table 11 (OIS Class): </w:t>
      </w:r>
    </w:p>
    <w:p w:rsidR="00326C9D" w:rsidRDefault="00326C9D" w:rsidP="00CB7264">
      <w:pPr>
        <w:pStyle w:val="Listenabsatz"/>
      </w:pPr>
      <w:r>
        <w:t xml:space="preserve">- </w:t>
      </w:r>
      <w:r w:rsidR="00CB7264">
        <w:t xml:space="preserve">AUD OIS </w:t>
      </w:r>
    </w:p>
    <w:p w:rsidR="00CB7264" w:rsidRDefault="00CB7264" w:rsidP="00CB7264">
      <w:pPr>
        <w:pStyle w:val="Listenabsatz"/>
      </w:pPr>
    </w:p>
    <w:p w:rsidR="00CB7264" w:rsidRDefault="00CB7264" w:rsidP="00CB7264">
      <w:pPr>
        <w:pStyle w:val="Listenabsatz"/>
        <w:numPr>
          <w:ilvl w:val="0"/>
          <w:numId w:val="10"/>
        </w:numPr>
      </w:pPr>
      <w:r>
        <w:t xml:space="preserve">In Table 12 (Interest Rate Option Class): </w:t>
      </w:r>
    </w:p>
    <w:p w:rsidR="00CB7264" w:rsidRDefault="00CB7264" w:rsidP="00CB7264">
      <w:pPr>
        <w:pStyle w:val="Listenabsatz"/>
      </w:pPr>
      <w:r>
        <w:t xml:space="preserve">From our perspective there </w:t>
      </w:r>
      <w:r w:rsidR="00326C9D">
        <w:t>might be room f</w:t>
      </w:r>
      <w:r>
        <w:t xml:space="preserve">or interpretation, whether Interest Rate Swaptions would be captured or not. If it is intended to impose a clearing obligation on these products, it </w:t>
      </w:r>
      <w:r w:rsidR="00326C9D">
        <w:t>might be advisable</w:t>
      </w:r>
      <w:r w:rsidR="00297FED">
        <w:t xml:space="preserve"> to reflect this intention more clearly. </w:t>
      </w:r>
    </w:p>
    <w:p w:rsidR="007F578D" w:rsidRDefault="007F578D">
      <w:pPr>
        <w:jc w:val="left"/>
        <w:rPr>
          <w:rFonts w:eastAsia="Times New Roman" w:cs="Times New Roman"/>
          <w:b/>
          <w:bCs/>
          <w:szCs w:val="18"/>
          <w:lang w:eastAsia="de-DE"/>
        </w:rPr>
      </w:pPr>
    </w:p>
    <w:p w:rsidR="00723FB6" w:rsidRDefault="00723FB6" w:rsidP="00B929D6">
      <w:pPr>
        <w:pStyle w:val="Bold"/>
      </w:pPr>
      <w:r w:rsidRPr="00723FB6">
        <w:t xml:space="preserve">Question 9 (Interest rate derivatives): </w:t>
      </w:r>
    </w:p>
    <w:p w:rsidR="00561C14" w:rsidRDefault="00561C14" w:rsidP="00B929D6">
      <w:pPr>
        <w:pStyle w:val="Beschriftung"/>
        <w:rPr>
          <w:b w:val="0"/>
          <w:bCs w:val="0"/>
          <w:color w:val="auto"/>
          <w:szCs w:val="20"/>
        </w:rPr>
      </w:pPr>
      <w:r w:rsidRPr="00561C14">
        <w:rPr>
          <w:b w:val="0"/>
          <w:bCs w:val="0"/>
          <w:color w:val="auto"/>
          <w:szCs w:val="20"/>
        </w:rPr>
        <w:t>Do you have preliminary views on the specific items within those classes which would be the best candidates for the clearing obligation, taking into consideration the overarching aim of reducing systemic risk and the criteria defined in Article 5(4) of EMIR?</w:t>
      </w:r>
    </w:p>
    <w:p w:rsidR="00BE1539" w:rsidRDefault="00BE1539" w:rsidP="00B929D6">
      <w:pPr>
        <w:pStyle w:val="Beschriftung"/>
      </w:pPr>
      <w:r>
        <w:t xml:space="preserve">Answer </w:t>
      </w:r>
      <w:r w:rsidR="00961902">
        <w:t>9</w:t>
      </w:r>
      <w:r w:rsidR="007F578D">
        <w:t>:</w:t>
      </w:r>
    </w:p>
    <w:p w:rsidR="00C919B2" w:rsidRPr="009210B0" w:rsidRDefault="00FD2FB2" w:rsidP="00C919B2">
      <w:r>
        <w:t>The m</w:t>
      </w:r>
      <w:r w:rsidR="00C919B2" w:rsidRPr="000752DA">
        <w:t xml:space="preserve">ain focus should be on IRS (Fixed-to float), OIS and eventually Interest Rate </w:t>
      </w:r>
      <w:proofErr w:type="spellStart"/>
      <w:r w:rsidR="00C919B2" w:rsidRPr="000752DA">
        <w:t>Swaptions</w:t>
      </w:r>
      <w:proofErr w:type="spellEnd"/>
      <w:r w:rsidR="00C919B2" w:rsidRPr="000752DA">
        <w:t xml:space="preserve">. These are the most actively traded products in an insurance portfolio, but also from other real money investors. </w:t>
      </w:r>
      <w:r w:rsidR="00297FED">
        <w:t>The m</w:t>
      </w:r>
      <w:r w:rsidR="00C919B2" w:rsidRPr="000752DA">
        <w:t xml:space="preserve">ain </w:t>
      </w:r>
      <w:r w:rsidR="00297FED">
        <w:t>c</w:t>
      </w:r>
      <w:r w:rsidR="00C919B2" w:rsidRPr="000752DA">
        <w:t xml:space="preserve">urrencies </w:t>
      </w:r>
      <w:r w:rsidR="00297FED" w:rsidRPr="000752DA">
        <w:t>are</w:t>
      </w:r>
      <w:r w:rsidR="00297FED">
        <w:t xml:space="preserve"> </w:t>
      </w:r>
      <w:r w:rsidR="00297FED" w:rsidRPr="000752DA">
        <w:t>EUR</w:t>
      </w:r>
      <w:r w:rsidR="00C919B2" w:rsidRPr="000752DA">
        <w:t>, GBP and USD. Further important are CAD and AUD.</w:t>
      </w:r>
    </w:p>
    <w:p w:rsidR="000A0AD9" w:rsidRDefault="008E441A" w:rsidP="008E441A">
      <w:pPr>
        <w:pStyle w:val="berschrift2"/>
        <w:numPr>
          <w:ilvl w:val="0"/>
          <w:numId w:val="0"/>
        </w:numPr>
        <w:ind w:left="1425"/>
      </w:pPr>
      <w:bookmarkStart w:id="15" w:name="_Toc357780189"/>
      <w:bookmarkStart w:id="16" w:name="_Toc359335090"/>
      <w:r>
        <w:t xml:space="preserve">2.3. </w:t>
      </w:r>
      <w:r w:rsidR="000A0AD9" w:rsidRPr="000A0AD9">
        <w:t>Equity derivatives</w:t>
      </w:r>
      <w:bookmarkEnd w:id="15"/>
      <w:bookmarkEnd w:id="16"/>
    </w:p>
    <w:p w:rsidR="004740A5" w:rsidRDefault="004740A5" w:rsidP="004740A5">
      <w:pPr>
        <w:pStyle w:val="Beschriftung"/>
      </w:pPr>
      <w:r>
        <w:t>Comments on paragraph</w:t>
      </w:r>
      <w:r w:rsidR="004C273E">
        <w:t>s</w:t>
      </w:r>
      <w:r>
        <w:t xml:space="preserve"> 59 to 70:</w:t>
      </w:r>
    </w:p>
    <w:p w:rsidR="00297FED" w:rsidRDefault="00297FED" w:rsidP="00297FED">
      <w:pPr>
        <w:rPr>
          <w:lang w:eastAsia="de-DE"/>
        </w:rPr>
      </w:pPr>
      <w:r w:rsidRPr="00DE494E">
        <w:rPr>
          <w:lang w:eastAsia="de-DE"/>
        </w:rPr>
        <w:t xml:space="preserve">We have no </w:t>
      </w:r>
      <w:r>
        <w:rPr>
          <w:lang w:eastAsia="de-DE"/>
        </w:rPr>
        <w:t xml:space="preserve">additional </w:t>
      </w:r>
      <w:r w:rsidRPr="00DE494E">
        <w:rPr>
          <w:lang w:eastAsia="de-DE"/>
        </w:rPr>
        <w:t xml:space="preserve">comments as regards paragraphs </w:t>
      </w:r>
      <w:r>
        <w:rPr>
          <w:lang w:eastAsia="de-DE"/>
        </w:rPr>
        <w:t>57</w:t>
      </w:r>
      <w:r w:rsidRPr="00DE494E">
        <w:rPr>
          <w:lang w:eastAsia="de-DE"/>
        </w:rPr>
        <w:t xml:space="preserve"> to </w:t>
      </w:r>
      <w:r>
        <w:rPr>
          <w:lang w:eastAsia="de-DE"/>
        </w:rPr>
        <w:t>70</w:t>
      </w:r>
      <w:r w:rsidRPr="00DE494E">
        <w:rPr>
          <w:lang w:eastAsia="de-DE"/>
        </w:rPr>
        <w:t>.</w:t>
      </w:r>
    </w:p>
    <w:p w:rsidR="00741028" w:rsidRDefault="00741028" w:rsidP="00B929D6">
      <w:pPr>
        <w:pStyle w:val="Bold"/>
      </w:pPr>
      <w:r w:rsidRPr="00741028">
        <w:t>Question 10 (Equity derivatives):</w:t>
      </w:r>
      <w:r w:rsidRPr="00741028">
        <w:tab/>
      </w:r>
    </w:p>
    <w:p w:rsidR="00561C14" w:rsidRDefault="00561C14" w:rsidP="00B929D6">
      <w:pPr>
        <w:pStyle w:val="Beschriftung"/>
        <w:rPr>
          <w:b w:val="0"/>
          <w:bCs w:val="0"/>
          <w:color w:val="auto"/>
          <w:szCs w:val="20"/>
        </w:rPr>
      </w:pPr>
      <w:r w:rsidRPr="00561C14">
        <w:rPr>
          <w:b w:val="0"/>
          <w:bCs w:val="0"/>
          <w:color w:val="auto"/>
          <w:szCs w:val="20"/>
        </w:rPr>
        <w:t>Please indicate your preference between the options presented. Under Option D, which criteria do you believe are relevant and how should they be calibrated?</w:t>
      </w:r>
    </w:p>
    <w:p w:rsidR="00BE1539" w:rsidRDefault="00BE1539" w:rsidP="00B929D6">
      <w:pPr>
        <w:pStyle w:val="Beschriftung"/>
      </w:pPr>
      <w:r>
        <w:t xml:space="preserve">Answer </w:t>
      </w:r>
      <w:r w:rsidR="00961902">
        <w:t>10</w:t>
      </w:r>
      <w:r w:rsidR="000B7E3A">
        <w:t>:</w:t>
      </w:r>
    </w:p>
    <w:p w:rsidR="00C919B2" w:rsidRPr="00501DE8" w:rsidRDefault="00C919B2" w:rsidP="00C919B2">
      <w:r w:rsidRPr="00501DE8">
        <w:t xml:space="preserve">Option A </w:t>
      </w:r>
      <w:r w:rsidR="00297FED">
        <w:t xml:space="preserve">seems </w:t>
      </w:r>
      <w:r w:rsidRPr="00501DE8">
        <w:t>most prefer</w:t>
      </w:r>
      <w:r w:rsidR="00297FED">
        <w:t xml:space="preserve">able </w:t>
      </w:r>
      <w:r w:rsidRPr="00501DE8">
        <w:t xml:space="preserve">because a single name equity derivative is best identified by its underlying, i.e. the corresponding entity identifier of the underlying. Regarding the open definition of option D, CO could be based on a notional threshold of EUR 50 Mio. </w:t>
      </w:r>
      <w:proofErr w:type="gramStart"/>
      <w:r w:rsidRPr="00501DE8">
        <w:t>per</w:t>
      </w:r>
      <w:proofErr w:type="gramEnd"/>
      <w:r w:rsidRPr="00501DE8">
        <w:t xml:space="preserve"> single name equity derivative.</w:t>
      </w:r>
    </w:p>
    <w:p w:rsidR="004740A5" w:rsidRDefault="004740A5" w:rsidP="005F1A98"/>
    <w:p w:rsidR="004740A5" w:rsidRPr="004740A5" w:rsidRDefault="004740A5" w:rsidP="004740A5">
      <w:pPr>
        <w:pStyle w:val="Beschriftung"/>
      </w:pPr>
      <w:r>
        <w:t>Comments on paragraph</w:t>
      </w:r>
      <w:r w:rsidR="004C273E">
        <w:t>s</w:t>
      </w:r>
      <w:r>
        <w:t xml:space="preserve"> 71 to 73:</w:t>
      </w:r>
    </w:p>
    <w:p w:rsidR="00297FED" w:rsidRDefault="00297FED" w:rsidP="00297FED">
      <w:pPr>
        <w:rPr>
          <w:lang w:eastAsia="de-DE"/>
        </w:rPr>
      </w:pPr>
      <w:r w:rsidRPr="00DE494E">
        <w:rPr>
          <w:lang w:eastAsia="de-DE"/>
        </w:rPr>
        <w:t xml:space="preserve">We have no </w:t>
      </w:r>
      <w:r>
        <w:rPr>
          <w:lang w:eastAsia="de-DE"/>
        </w:rPr>
        <w:t xml:space="preserve">additional </w:t>
      </w:r>
      <w:r w:rsidRPr="00DE494E">
        <w:rPr>
          <w:lang w:eastAsia="de-DE"/>
        </w:rPr>
        <w:t xml:space="preserve">comments as regards paragraphs </w:t>
      </w:r>
      <w:r>
        <w:rPr>
          <w:lang w:eastAsia="de-DE"/>
        </w:rPr>
        <w:t>71</w:t>
      </w:r>
      <w:r w:rsidRPr="00DE494E">
        <w:rPr>
          <w:lang w:eastAsia="de-DE"/>
        </w:rPr>
        <w:t xml:space="preserve"> to </w:t>
      </w:r>
      <w:r>
        <w:rPr>
          <w:lang w:eastAsia="de-DE"/>
        </w:rPr>
        <w:t>73</w:t>
      </w:r>
      <w:r w:rsidRPr="00DE494E">
        <w:rPr>
          <w:lang w:eastAsia="de-DE"/>
        </w:rPr>
        <w:t>.</w:t>
      </w:r>
    </w:p>
    <w:p w:rsidR="00741028" w:rsidRDefault="00741028" w:rsidP="00B929D6">
      <w:pPr>
        <w:pStyle w:val="Bold"/>
      </w:pPr>
      <w:r w:rsidRPr="00741028">
        <w:t>Question 11 (Equity derivatives):</w:t>
      </w:r>
      <w:r w:rsidRPr="00741028">
        <w:tab/>
      </w:r>
    </w:p>
    <w:p w:rsidR="00561C14" w:rsidRPr="00561C14" w:rsidRDefault="00561C14" w:rsidP="00561C14">
      <w:r w:rsidRPr="00561C14">
        <w:t>Please indicate your preference between the options presented.</w:t>
      </w:r>
    </w:p>
    <w:p w:rsidR="00561C14" w:rsidRPr="00561C14" w:rsidRDefault="00561C14" w:rsidP="00561C14">
      <w:r w:rsidRPr="00561C14">
        <w:t>In relation to Option B, which geographical zones would you define, i.e. how could the currencies be grouped in geographical zones? What is the standard market practise in this respect?</w:t>
      </w:r>
    </w:p>
    <w:p w:rsidR="000B7E3A" w:rsidRPr="000B7E3A" w:rsidRDefault="00BE1539" w:rsidP="007F578D">
      <w:pPr>
        <w:pStyle w:val="Beschriftung"/>
      </w:pPr>
      <w:r>
        <w:t xml:space="preserve">Answer </w:t>
      </w:r>
      <w:r w:rsidR="00961902">
        <w:t>11</w:t>
      </w:r>
      <w:r w:rsidR="000B7E3A">
        <w:t>:</w:t>
      </w:r>
    </w:p>
    <w:p w:rsidR="00C919B2" w:rsidRPr="00EE0F78" w:rsidRDefault="00297FED" w:rsidP="00C919B2">
      <w:r>
        <w:t>Th</w:t>
      </w:r>
      <w:r w:rsidR="00C919B2" w:rsidRPr="00501DE8">
        <w:t xml:space="preserve">e settlement currency </w:t>
      </w:r>
      <w:r>
        <w:t xml:space="preserve">would represent </w:t>
      </w:r>
      <w:r w:rsidR="00C919B2" w:rsidRPr="00501DE8">
        <w:t>the preferred primary key to define the respective class/category for equity derivatives</w:t>
      </w:r>
      <w:r>
        <w:t>, from our point of view</w:t>
      </w:r>
      <w:r w:rsidR="00C919B2" w:rsidRPr="00501DE8">
        <w:t xml:space="preserve">. Geographical zones </w:t>
      </w:r>
      <w:r>
        <w:t xml:space="preserve">might </w:t>
      </w:r>
      <w:r w:rsidR="00C919B2" w:rsidRPr="00501DE8">
        <w:t xml:space="preserve">be organized in </w:t>
      </w:r>
      <w:r>
        <w:t xml:space="preserve">the </w:t>
      </w:r>
      <w:r w:rsidR="00C919B2" w:rsidRPr="00501DE8">
        <w:t xml:space="preserve">continental </w:t>
      </w:r>
      <w:r w:rsidR="00C919B2" w:rsidRPr="00EE0F78">
        <w:t>setting</w:t>
      </w:r>
      <w:r>
        <w:t xml:space="preserve">s </w:t>
      </w:r>
      <w:r w:rsidR="00C919B2" w:rsidRPr="00EE0F78">
        <w:rPr>
          <w:bCs/>
        </w:rPr>
        <w:t>North America</w:t>
      </w:r>
      <w:r w:rsidR="00C919B2" w:rsidRPr="00EE0F78">
        <w:t xml:space="preserve">, South America, </w:t>
      </w:r>
      <w:r w:rsidR="00C919B2" w:rsidRPr="00EE0F78">
        <w:rPr>
          <w:bCs/>
        </w:rPr>
        <w:t>Europe</w:t>
      </w:r>
      <w:r w:rsidR="00C919B2" w:rsidRPr="00EE0F78">
        <w:t xml:space="preserve">, Africa, Asia and Australia. </w:t>
      </w:r>
    </w:p>
    <w:p w:rsidR="000B7E3A" w:rsidRPr="000B7E3A" w:rsidRDefault="000B7E3A" w:rsidP="000B7E3A"/>
    <w:p w:rsidR="00723FB6" w:rsidRDefault="00723FB6" w:rsidP="00B929D6">
      <w:pPr>
        <w:pStyle w:val="Bold"/>
      </w:pPr>
      <w:r>
        <w:t xml:space="preserve">Question </w:t>
      </w:r>
      <w:r w:rsidR="00590BC4">
        <w:t>12</w:t>
      </w:r>
      <w:r>
        <w:t xml:space="preserve"> (Equity derivatives): </w:t>
      </w:r>
    </w:p>
    <w:p w:rsidR="00561C14" w:rsidRDefault="00561C14" w:rsidP="00B929D6">
      <w:pPr>
        <w:pStyle w:val="Beschriftung"/>
        <w:rPr>
          <w:b w:val="0"/>
          <w:bCs w:val="0"/>
          <w:color w:val="auto"/>
          <w:szCs w:val="20"/>
        </w:rPr>
      </w:pPr>
      <w:r w:rsidRPr="00561C14">
        <w:rPr>
          <w:b w:val="0"/>
          <w:bCs w:val="0"/>
          <w:color w:val="auto"/>
          <w:szCs w:val="20"/>
        </w:rPr>
        <w:t>Do you consider that the main characteristics of Equity OTC derivatives are adequately captured by the proposed structure? Are there any other variables which you consider as relevant in the context of the clearing obligation?</w:t>
      </w:r>
    </w:p>
    <w:p w:rsidR="00BE1539" w:rsidRDefault="00BE1539" w:rsidP="00B929D6">
      <w:pPr>
        <w:pStyle w:val="Beschriftung"/>
      </w:pPr>
      <w:r>
        <w:t xml:space="preserve">Answer </w:t>
      </w:r>
      <w:r w:rsidR="00961902">
        <w:t>12</w:t>
      </w:r>
      <w:r w:rsidR="000B7E3A">
        <w:t>:</w:t>
      </w:r>
    </w:p>
    <w:p w:rsidR="00BE1539" w:rsidRPr="00BE1539" w:rsidRDefault="00297FED" w:rsidP="00BE1539">
      <w:r>
        <w:t xml:space="preserve">-/- </w:t>
      </w:r>
    </w:p>
    <w:p w:rsidR="00741028" w:rsidRPr="00741028" w:rsidRDefault="00741028" w:rsidP="00B929D6">
      <w:pPr>
        <w:pStyle w:val="Bold"/>
      </w:pPr>
      <w:r w:rsidRPr="00741028">
        <w:t xml:space="preserve">Question 13 (Equity derivatives): </w:t>
      </w:r>
    </w:p>
    <w:p w:rsidR="00741028" w:rsidRDefault="00561C14" w:rsidP="00D54F70">
      <w:r w:rsidRPr="00561C14">
        <w:t>Do you have preliminary views on the specific items within those classes which would be the best candidates for the clearing obligation, taking into consideration the overarching aim of reducing systemic risk and the criteria defined in Article 5(4) of EMIR?</w:t>
      </w:r>
      <w:r w:rsidR="00741028" w:rsidRPr="00741028">
        <w:tab/>
      </w:r>
    </w:p>
    <w:p w:rsidR="00BE1539" w:rsidRPr="00BE1539" w:rsidRDefault="00BE1539" w:rsidP="000B7E3A">
      <w:pPr>
        <w:pStyle w:val="Beschriftung"/>
      </w:pPr>
      <w:r>
        <w:t xml:space="preserve">Answer </w:t>
      </w:r>
      <w:r w:rsidR="00961902">
        <w:t>13</w:t>
      </w:r>
      <w:r w:rsidR="000B7E3A">
        <w:t>:</w:t>
      </w:r>
    </w:p>
    <w:p w:rsidR="00C919B2" w:rsidRPr="00D80125" w:rsidRDefault="00C919B2" w:rsidP="00C919B2">
      <w:pPr>
        <w:rPr>
          <w:b/>
        </w:rPr>
      </w:pPr>
      <w:r w:rsidRPr="00D80125">
        <w:t>-/-</w:t>
      </w:r>
    </w:p>
    <w:p w:rsidR="00723FB6" w:rsidRPr="000A0AD9" w:rsidRDefault="008E441A" w:rsidP="008E441A">
      <w:pPr>
        <w:pStyle w:val="berschrift2"/>
        <w:numPr>
          <w:ilvl w:val="0"/>
          <w:numId w:val="0"/>
        </w:numPr>
        <w:ind w:left="1425"/>
      </w:pPr>
      <w:r>
        <w:t xml:space="preserve">2.4. </w:t>
      </w:r>
      <w:r w:rsidR="00723FB6" w:rsidRPr="000A0AD9">
        <w:t>Foreign Exchange derivatives</w:t>
      </w:r>
    </w:p>
    <w:p w:rsidR="004740A5" w:rsidRPr="004740A5" w:rsidRDefault="004740A5" w:rsidP="004740A5">
      <w:pPr>
        <w:pStyle w:val="Beschriftung"/>
      </w:pPr>
      <w:r>
        <w:t>Comments on paragraph</w:t>
      </w:r>
      <w:r w:rsidR="004C273E">
        <w:t>s</w:t>
      </w:r>
      <w:r>
        <w:t xml:space="preserve"> 75 to 78:</w:t>
      </w:r>
    </w:p>
    <w:p w:rsidR="00297FED" w:rsidRDefault="00297FED" w:rsidP="00297FED">
      <w:pPr>
        <w:rPr>
          <w:lang w:eastAsia="de-DE"/>
        </w:rPr>
      </w:pPr>
      <w:r w:rsidRPr="00DE494E">
        <w:rPr>
          <w:lang w:eastAsia="de-DE"/>
        </w:rPr>
        <w:t xml:space="preserve">We have no </w:t>
      </w:r>
      <w:r>
        <w:rPr>
          <w:lang w:eastAsia="de-DE"/>
        </w:rPr>
        <w:t xml:space="preserve">additional </w:t>
      </w:r>
      <w:r w:rsidRPr="00DE494E">
        <w:rPr>
          <w:lang w:eastAsia="de-DE"/>
        </w:rPr>
        <w:t xml:space="preserve">comments as regards paragraphs </w:t>
      </w:r>
      <w:r>
        <w:rPr>
          <w:lang w:eastAsia="de-DE"/>
        </w:rPr>
        <w:t>75</w:t>
      </w:r>
      <w:r w:rsidRPr="00DE494E">
        <w:rPr>
          <w:lang w:eastAsia="de-DE"/>
        </w:rPr>
        <w:t xml:space="preserve"> to </w:t>
      </w:r>
      <w:r>
        <w:rPr>
          <w:lang w:eastAsia="de-DE"/>
        </w:rPr>
        <w:t>78</w:t>
      </w:r>
      <w:r w:rsidRPr="00DE494E">
        <w:rPr>
          <w:lang w:eastAsia="de-DE"/>
        </w:rPr>
        <w:t>.</w:t>
      </w:r>
    </w:p>
    <w:p w:rsidR="004740A5" w:rsidRDefault="004740A5" w:rsidP="005F1A98"/>
    <w:p w:rsidR="00723FB6" w:rsidRPr="00C2137E" w:rsidRDefault="00723FB6" w:rsidP="00B929D6">
      <w:pPr>
        <w:pStyle w:val="Bold"/>
      </w:pPr>
      <w:r w:rsidRPr="00C2137E">
        <w:t xml:space="preserve">Question 14 (FX derivatives): </w:t>
      </w:r>
    </w:p>
    <w:p w:rsidR="00561C14" w:rsidRDefault="00561C14" w:rsidP="00B929D6">
      <w:pPr>
        <w:pStyle w:val="Beschriftung"/>
        <w:rPr>
          <w:b w:val="0"/>
          <w:bCs w:val="0"/>
          <w:color w:val="auto"/>
          <w:szCs w:val="20"/>
        </w:rPr>
      </w:pPr>
      <w:r w:rsidRPr="00C2137E">
        <w:rPr>
          <w:b w:val="0"/>
          <w:bCs w:val="0"/>
          <w:color w:val="auto"/>
          <w:szCs w:val="20"/>
        </w:rPr>
        <w:t>Do you consider that the main characteristics of the FX derivatives are adequately captured by the proposed structure? Are there any other variables which you consider as relevant in the context of the clearing obligation?</w:t>
      </w:r>
    </w:p>
    <w:p w:rsidR="00BE1539" w:rsidRDefault="00BE1539" w:rsidP="00B929D6">
      <w:pPr>
        <w:pStyle w:val="Beschriftung"/>
      </w:pPr>
      <w:r>
        <w:t xml:space="preserve">Answer </w:t>
      </w:r>
      <w:r w:rsidR="00961902">
        <w:t>14</w:t>
      </w:r>
      <w:r w:rsidR="000B7E3A">
        <w:t>:</w:t>
      </w:r>
    </w:p>
    <w:p w:rsidR="000C43FA" w:rsidRPr="00581F68" w:rsidRDefault="000C43FA" w:rsidP="000C43FA">
      <w:r w:rsidRPr="00581F68">
        <w:t xml:space="preserve">From a trading perspective it </w:t>
      </w:r>
      <w:r w:rsidR="00C2137E">
        <w:t>might be not perfectly cle</w:t>
      </w:r>
      <w:r w:rsidRPr="00581F68">
        <w:t xml:space="preserve">ar, if FX Swaps </w:t>
      </w:r>
      <w:r>
        <w:t>(which are</w:t>
      </w:r>
      <w:r w:rsidRPr="00581F68">
        <w:t xml:space="preserve"> a combination of a</w:t>
      </w:r>
      <w:r>
        <w:t xml:space="preserve"> FX Spot and a FX Forward and </w:t>
      </w:r>
      <w:r w:rsidRPr="00581F68">
        <w:t>constitute the biggest volume within the FX market) would be covered by Table 15 or no</w:t>
      </w:r>
      <w:r w:rsidR="009B4AF6">
        <w:t xml:space="preserve">t. Additionally, it </w:t>
      </w:r>
      <w:r w:rsidR="00C2137E">
        <w:t xml:space="preserve">might not be certain </w:t>
      </w:r>
      <w:r w:rsidRPr="00581F68">
        <w:t xml:space="preserve">from a practical point of view, what the term “cash settlement” means with regard to FX Transactions. The industry standard is physical </w:t>
      </w:r>
      <w:r w:rsidR="00EE0F78" w:rsidRPr="00581F68">
        <w:t>delivery</w:t>
      </w:r>
      <w:r w:rsidR="00C2137E">
        <w:t xml:space="preserve"> and </w:t>
      </w:r>
      <w:r w:rsidRPr="00581F68">
        <w:t>pure cash settlement is not a commonly used settlement procedure (with the exception of NDF´s).</w:t>
      </w:r>
    </w:p>
    <w:p w:rsidR="000C43FA" w:rsidRPr="00581F68" w:rsidRDefault="000C43FA" w:rsidP="000C43FA">
      <w:r w:rsidRPr="00581F68">
        <w:t xml:space="preserve">If only a narrow definition of cash settlement is intended, fixing procedure keys </w:t>
      </w:r>
      <w:r w:rsidR="00C2137E">
        <w:t xml:space="preserve">would </w:t>
      </w:r>
      <w:r w:rsidRPr="00581F68">
        <w:t xml:space="preserve">need to be defined. </w:t>
      </w:r>
    </w:p>
    <w:p w:rsidR="00BE1539" w:rsidRPr="00BE1539" w:rsidRDefault="00BE1539" w:rsidP="00BE1539"/>
    <w:p w:rsidR="00741028" w:rsidRPr="00741028" w:rsidRDefault="00741028" w:rsidP="00B929D6">
      <w:pPr>
        <w:pStyle w:val="Bold"/>
      </w:pPr>
      <w:r w:rsidRPr="00741028">
        <w:t xml:space="preserve">Question 15 (FX derivatives): </w:t>
      </w:r>
    </w:p>
    <w:p w:rsidR="00561C14" w:rsidRDefault="00561C14" w:rsidP="000B7E3A">
      <w:pPr>
        <w:pStyle w:val="Beschriftung"/>
        <w:rPr>
          <w:b w:val="0"/>
          <w:bCs w:val="0"/>
          <w:color w:val="auto"/>
          <w:szCs w:val="20"/>
        </w:rPr>
      </w:pPr>
      <w:r w:rsidRPr="00561C14">
        <w:rPr>
          <w:b w:val="0"/>
          <w:bCs w:val="0"/>
          <w:color w:val="auto"/>
          <w:szCs w:val="20"/>
        </w:rPr>
        <w:t>Do you have preliminary views on the specific items of the presented class which would be the best candidates for the clearing obligation, in view of the criteria to be assessed by ESMA, taking into consideration the overarching aim of reducing systemic risk and the criteria defined in Article 5(4) of EMIR?</w:t>
      </w:r>
    </w:p>
    <w:p w:rsidR="00BE1539" w:rsidRDefault="00BE1539" w:rsidP="000B7E3A">
      <w:pPr>
        <w:pStyle w:val="Beschriftung"/>
      </w:pPr>
      <w:r>
        <w:t>Answer</w:t>
      </w:r>
      <w:r w:rsidR="00E80FEF">
        <w:t xml:space="preserve"> 15</w:t>
      </w:r>
      <w:r w:rsidR="000B7E3A">
        <w:t>:</w:t>
      </w:r>
    </w:p>
    <w:p w:rsidR="000C43FA" w:rsidRPr="00581F68" w:rsidRDefault="000C43FA" w:rsidP="000C43FA">
      <w:r w:rsidRPr="00581F68">
        <w:t xml:space="preserve">If </w:t>
      </w:r>
      <w:r w:rsidR="00C2137E">
        <w:t>is ESMA’s o</w:t>
      </w:r>
      <w:r w:rsidRPr="00581F68">
        <w:t xml:space="preserve">bjective to cover the predominate part of all FX derivatives, </w:t>
      </w:r>
      <w:r w:rsidR="00C2137E">
        <w:t xml:space="preserve">it might </w:t>
      </w:r>
      <w:r w:rsidRPr="00581F68">
        <w:t xml:space="preserve">not be achieved on the basis of the proposed classes set out in Table 14 and 15. </w:t>
      </w:r>
    </w:p>
    <w:p w:rsidR="000C43FA" w:rsidRPr="00581F68" w:rsidRDefault="000C43FA" w:rsidP="000C43FA">
      <w:r w:rsidRPr="00581F68">
        <w:t xml:space="preserve">CSF´s are not a commonly used instrument within the industry. FX Forwards are almost exclusively settled by physical delivery. Moreover the currency pairs named in the tables are just a tiny fraction in comparison to the currency pairs traded within the FX market in total. Because of the multitude of currencies involved </w:t>
      </w:r>
      <w:r w:rsidR="00C2137E">
        <w:t xml:space="preserve">it might be useful to have </w:t>
      </w:r>
      <w:r w:rsidRPr="00581F68">
        <w:t>the possibility to be flexible in the two currencies involved (and both require settlement possibilitie</w:t>
      </w:r>
      <w:r>
        <w:t>s). Even for cash settled FX trades</w:t>
      </w:r>
      <w:r w:rsidRPr="00581F68">
        <w:t xml:space="preserve"> the proposed settlement currencies </w:t>
      </w:r>
      <w:r w:rsidR="00C2137E">
        <w:t xml:space="preserve">seem not eligible in </w:t>
      </w:r>
      <w:r w:rsidRPr="00581F68">
        <w:t>a European context, as a settlement in EUR needs to</w:t>
      </w:r>
      <w:r>
        <w:t xml:space="preserve"> be</w:t>
      </w:r>
      <w:r w:rsidRPr="00581F68">
        <w:t xml:space="preserve"> covered.</w:t>
      </w:r>
    </w:p>
    <w:p w:rsidR="000C43FA" w:rsidRPr="00581F68" w:rsidRDefault="000C43FA" w:rsidP="000C43FA">
      <w:r w:rsidRPr="00581F68">
        <w:t xml:space="preserve">This is different for NDF, where one of the currencies involved is </w:t>
      </w:r>
      <w:proofErr w:type="spellStart"/>
      <w:r w:rsidRPr="00581F68">
        <w:t>non deliverable</w:t>
      </w:r>
      <w:proofErr w:type="spellEnd"/>
      <w:r w:rsidRPr="00581F68">
        <w:t>, cash settlement is conducted and the fixing procedure against EUR is already standardized by EMTA. Again, as the currencies named in Table 14 only cover a very small part of the traded currencies, most NDF´s could not be cleared.</w:t>
      </w:r>
    </w:p>
    <w:p w:rsidR="000B7E3A" w:rsidRPr="000B7E3A" w:rsidRDefault="000B7E3A" w:rsidP="000B7E3A"/>
    <w:p w:rsidR="00723FB6" w:rsidRDefault="008E441A" w:rsidP="008E441A">
      <w:pPr>
        <w:pStyle w:val="berschrift2"/>
        <w:numPr>
          <w:ilvl w:val="0"/>
          <w:numId w:val="0"/>
        </w:numPr>
        <w:ind w:left="1425"/>
      </w:pPr>
      <w:bookmarkStart w:id="17" w:name="_Toc357780191"/>
      <w:bookmarkStart w:id="18" w:name="_Toc359335092"/>
      <w:r>
        <w:t xml:space="preserve">2.5. </w:t>
      </w:r>
      <w:r w:rsidR="00723FB6">
        <w:t>Commodity derivatives</w:t>
      </w:r>
      <w:bookmarkEnd w:id="17"/>
      <w:bookmarkEnd w:id="18"/>
    </w:p>
    <w:p w:rsidR="004740A5" w:rsidRPr="004740A5" w:rsidRDefault="004740A5" w:rsidP="004740A5">
      <w:pPr>
        <w:pStyle w:val="Beschriftung"/>
      </w:pPr>
      <w:r>
        <w:t>Comments on paragraph</w:t>
      </w:r>
      <w:r w:rsidR="004C273E">
        <w:t>s</w:t>
      </w:r>
      <w:r>
        <w:t xml:space="preserve"> 79 to 84:</w:t>
      </w:r>
    </w:p>
    <w:p w:rsidR="00C2137E" w:rsidRDefault="00C2137E" w:rsidP="00C2137E">
      <w:pPr>
        <w:rPr>
          <w:lang w:eastAsia="de-DE"/>
        </w:rPr>
      </w:pPr>
      <w:r w:rsidRPr="00DE494E">
        <w:rPr>
          <w:lang w:eastAsia="de-DE"/>
        </w:rPr>
        <w:t xml:space="preserve">We have no </w:t>
      </w:r>
      <w:r>
        <w:rPr>
          <w:lang w:eastAsia="de-DE"/>
        </w:rPr>
        <w:t xml:space="preserve">additional </w:t>
      </w:r>
      <w:r w:rsidRPr="00DE494E">
        <w:rPr>
          <w:lang w:eastAsia="de-DE"/>
        </w:rPr>
        <w:t xml:space="preserve">comments as regards paragraphs </w:t>
      </w:r>
      <w:r>
        <w:rPr>
          <w:lang w:eastAsia="de-DE"/>
        </w:rPr>
        <w:t>79</w:t>
      </w:r>
      <w:r w:rsidRPr="00DE494E">
        <w:rPr>
          <w:lang w:eastAsia="de-DE"/>
        </w:rPr>
        <w:t xml:space="preserve">to </w:t>
      </w:r>
      <w:r>
        <w:rPr>
          <w:lang w:eastAsia="de-DE"/>
        </w:rPr>
        <w:t>84</w:t>
      </w:r>
      <w:r w:rsidRPr="00DE494E">
        <w:rPr>
          <w:lang w:eastAsia="de-DE"/>
        </w:rPr>
        <w:t>.</w:t>
      </w:r>
    </w:p>
    <w:p w:rsidR="004740A5" w:rsidRPr="004740A5" w:rsidRDefault="004740A5" w:rsidP="004740A5">
      <w:pPr>
        <w:rPr>
          <w:lang w:eastAsia="de-DE"/>
        </w:rPr>
      </w:pPr>
    </w:p>
    <w:p w:rsidR="00741028" w:rsidRPr="00741028" w:rsidRDefault="00741028" w:rsidP="00B929D6">
      <w:pPr>
        <w:pStyle w:val="Bold"/>
      </w:pPr>
      <w:r w:rsidRPr="00741028">
        <w:t xml:space="preserve">Question 16 (Commodity derivatives): </w:t>
      </w:r>
    </w:p>
    <w:p w:rsidR="00561C14" w:rsidRDefault="00561C14" w:rsidP="00B929D6">
      <w:pPr>
        <w:pStyle w:val="Beschriftung"/>
        <w:rPr>
          <w:b w:val="0"/>
          <w:bCs w:val="0"/>
          <w:color w:val="auto"/>
          <w:szCs w:val="20"/>
        </w:rPr>
      </w:pPr>
      <w:r w:rsidRPr="00561C14">
        <w:rPr>
          <w:b w:val="0"/>
          <w:bCs w:val="0"/>
          <w:color w:val="auto"/>
          <w:szCs w:val="20"/>
        </w:rPr>
        <w:t>What is in your view the best approach to specify the underlying assets within each OTC Commodity class?</w:t>
      </w:r>
    </w:p>
    <w:p w:rsidR="00BE1539" w:rsidRDefault="00BE1539" w:rsidP="00B929D6">
      <w:pPr>
        <w:pStyle w:val="Beschriftung"/>
      </w:pPr>
      <w:r>
        <w:t xml:space="preserve">Answer </w:t>
      </w:r>
      <w:r w:rsidR="00961902">
        <w:t>16</w:t>
      </w:r>
      <w:r w:rsidR="000B7E3A">
        <w:t>:</w:t>
      </w:r>
    </w:p>
    <w:p w:rsidR="000C43FA" w:rsidRPr="00501DE8" w:rsidRDefault="000C43FA" w:rsidP="000C43FA">
      <w:pPr>
        <w:rPr>
          <w:b/>
        </w:rPr>
      </w:pPr>
      <w:r w:rsidRPr="00501DE8">
        <w:t xml:space="preserve">ISDA two level classifications </w:t>
      </w:r>
      <w:r>
        <w:t xml:space="preserve">are </w:t>
      </w:r>
      <w:r w:rsidRPr="00501DE8">
        <w:t>appropriate to categorize commodity contracts. A “one level” classification would be sufficient, i.e. index or specific commodity/product exposure.</w:t>
      </w:r>
    </w:p>
    <w:p w:rsidR="00BE1539" w:rsidRPr="00BE1539" w:rsidRDefault="00BE1539" w:rsidP="00BE1539"/>
    <w:p w:rsidR="00723FB6" w:rsidRDefault="00723FB6" w:rsidP="00B929D6">
      <w:pPr>
        <w:pStyle w:val="Bold"/>
      </w:pPr>
      <w:r w:rsidRPr="00723FB6">
        <w:t xml:space="preserve">Question </w:t>
      </w:r>
      <w:r w:rsidR="000A0AD9">
        <w:t>17</w:t>
      </w:r>
      <w:r w:rsidRPr="00723FB6">
        <w:t xml:space="preserve"> (Commodity derivatives): </w:t>
      </w:r>
    </w:p>
    <w:p w:rsidR="00561C14" w:rsidRDefault="00561C14" w:rsidP="00B929D6">
      <w:pPr>
        <w:pStyle w:val="Beschriftung"/>
        <w:rPr>
          <w:b w:val="0"/>
          <w:bCs w:val="0"/>
          <w:color w:val="auto"/>
          <w:szCs w:val="20"/>
        </w:rPr>
      </w:pPr>
      <w:r w:rsidRPr="00561C14">
        <w:rPr>
          <w:b w:val="0"/>
          <w:bCs w:val="0"/>
          <w:color w:val="auto"/>
          <w:szCs w:val="20"/>
        </w:rPr>
        <w:t>Do you consider that the main characteristics of the Commodity derivatives are adequately captured by the proposed structure? Are there any other variables which you consider as relevant in the context of the clearing obligation?</w:t>
      </w:r>
    </w:p>
    <w:p w:rsidR="00BE1539" w:rsidRDefault="00BE1539" w:rsidP="00B929D6">
      <w:pPr>
        <w:pStyle w:val="Beschriftung"/>
      </w:pPr>
      <w:r>
        <w:t xml:space="preserve">Answer </w:t>
      </w:r>
      <w:r w:rsidR="00961902">
        <w:t>17</w:t>
      </w:r>
      <w:r w:rsidR="000B7E3A">
        <w:t>:</w:t>
      </w:r>
    </w:p>
    <w:p w:rsidR="000C43FA" w:rsidRPr="00501DE8" w:rsidRDefault="000C43FA" w:rsidP="000C43FA">
      <w:r w:rsidRPr="00501DE8">
        <w:t>Part 1: Yes</w:t>
      </w:r>
      <w:r>
        <w:t>.</w:t>
      </w:r>
    </w:p>
    <w:p w:rsidR="000C43FA" w:rsidRDefault="000C43FA" w:rsidP="000C43FA">
      <w:r w:rsidRPr="00501DE8">
        <w:t>Part 2: No</w:t>
      </w:r>
      <w:r>
        <w:t>.</w:t>
      </w:r>
    </w:p>
    <w:p w:rsidR="000C43FA" w:rsidRDefault="000C43FA" w:rsidP="000C43FA"/>
    <w:p w:rsidR="00BE1539" w:rsidRPr="00BE1539" w:rsidRDefault="00BE1539" w:rsidP="00BE1539"/>
    <w:p w:rsidR="00741028" w:rsidRPr="00741028" w:rsidRDefault="00741028" w:rsidP="00B929D6">
      <w:pPr>
        <w:pStyle w:val="Bold"/>
      </w:pPr>
      <w:r w:rsidRPr="00741028">
        <w:t xml:space="preserve">Question 18 (Commodity derivatives): </w:t>
      </w:r>
    </w:p>
    <w:p w:rsidR="00741028" w:rsidRDefault="00561C14" w:rsidP="00D54F70">
      <w:r w:rsidRPr="00561C14">
        <w:t>Do you have preliminary views on the specific items within those classes which would be the best candidates for the clearing obligation, taking into consideration the overarching aim of reducing systemic risk and the criteria defined in Article 5(4) of EMIR?</w:t>
      </w:r>
      <w:r w:rsidR="00741028" w:rsidRPr="00741028">
        <w:tab/>
      </w:r>
    </w:p>
    <w:p w:rsidR="00BE1539" w:rsidRDefault="00BE1539" w:rsidP="00B929D6">
      <w:pPr>
        <w:pStyle w:val="Beschriftung"/>
      </w:pPr>
      <w:r>
        <w:t xml:space="preserve">Answer </w:t>
      </w:r>
      <w:r w:rsidR="00961902">
        <w:t>18</w:t>
      </w:r>
      <w:r w:rsidR="000B7E3A">
        <w:t>:</w:t>
      </w:r>
    </w:p>
    <w:p w:rsidR="000C43FA" w:rsidRPr="00501DE8" w:rsidRDefault="000C43FA" w:rsidP="000C43FA">
      <w:r w:rsidRPr="00501DE8">
        <w:t>Physically settled contracts should be cleared first, because of their potential influence on spot price.</w:t>
      </w:r>
    </w:p>
    <w:p w:rsidR="000B7E3A" w:rsidRPr="000B7E3A" w:rsidRDefault="000B7E3A" w:rsidP="000B7E3A"/>
    <w:p w:rsidR="00865E0F" w:rsidRDefault="008E441A" w:rsidP="008E441A">
      <w:pPr>
        <w:pStyle w:val="berschrift1"/>
        <w:numPr>
          <w:ilvl w:val="0"/>
          <w:numId w:val="0"/>
        </w:numPr>
        <w:ind w:left="360"/>
      </w:pPr>
      <w:r>
        <w:t xml:space="preserve">3. </w:t>
      </w:r>
      <w:r w:rsidR="00865E0F">
        <w:t>Preliminary analysis of the readiness of asset classes vis-à-vis the clearing obligation</w:t>
      </w:r>
    </w:p>
    <w:p w:rsidR="00865E0F" w:rsidRDefault="00865E0F" w:rsidP="00D54F70"/>
    <w:p w:rsidR="004740A5" w:rsidRPr="004740A5" w:rsidRDefault="004740A5" w:rsidP="004740A5">
      <w:pPr>
        <w:pStyle w:val="Beschriftung"/>
      </w:pPr>
      <w:r>
        <w:t>Comments on paragraph</w:t>
      </w:r>
      <w:r w:rsidR="004C273E">
        <w:t>s</w:t>
      </w:r>
      <w:r>
        <w:t xml:space="preserve"> 85 to 105:</w:t>
      </w:r>
    </w:p>
    <w:p w:rsidR="004513CD" w:rsidRDefault="004513CD" w:rsidP="004513CD">
      <w:pPr>
        <w:rPr>
          <w:lang w:eastAsia="de-DE"/>
        </w:rPr>
      </w:pPr>
      <w:r w:rsidRPr="00DE494E">
        <w:rPr>
          <w:lang w:eastAsia="de-DE"/>
        </w:rPr>
        <w:t xml:space="preserve">We have no </w:t>
      </w:r>
      <w:r>
        <w:rPr>
          <w:lang w:eastAsia="de-DE"/>
        </w:rPr>
        <w:t xml:space="preserve">additional </w:t>
      </w:r>
      <w:r w:rsidRPr="00DE494E">
        <w:rPr>
          <w:lang w:eastAsia="de-DE"/>
        </w:rPr>
        <w:t xml:space="preserve">comments as regards paragraphs </w:t>
      </w:r>
      <w:r>
        <w:rPr>
          <w:lang w:eastAsia="de-DE"/>
        </w:rPr>
        <w:t>85</w:t>
      </w:r>
      <w:r w:rsidRPr="00DE494E">
        <w:rPr>
          <w:lang w:eastAsia="de-DE"/>
        </w:rPr>
        <w:t xml:space="preserve"> to </w:t>
      </w:r>
      <w:r>
        <w:rPr>
          <w:lang w:eastAsia="de-DE"/>
        </w:rPr>
        <w:t>105</w:t>
      </w:r>
      <w:r w:rsidRPr="00DE494E">
        <w:rPr>
          <w:lang w:eastAsia="de-DE"/>
        </w:rPr>
        <w:t>.</w:t>
      </w:r>
    </w:p>
    <w:p w:rsidR="004740A5" w:rsidRPr="00741028" w:rsidRDefault="004740A5" w:rsidP="00D54F70"/>
    <w:p w:rsidR="00741028" w:rsidRPr="00741028" w:rsidRDefault="00741028" w:rsidP="00B929D6">
      <w:pPr>
        <w:pStyle w:val="Bold"/>
      </w:pPr>
      <w:r w:rsidRPr="00741028">
        <w:t xml:space="preserve">Question 19 (readiness of the classes): </w:t>
      </w:r>
    </w:p>
    <w:p w:rsidR="00741028" w:rsidRDefault="00741028" w:rsidP="00D54F70">
      <w:r w:rsidRPr="00741028">
        <w:t>Do you agree with this analysis?</w:t>
      </w:r>
      <w:r w:rsidRPr="00741028">
        <w:tab/>
      </w:r>
    </w:p>
    <w:p w:rsidR="00393DA5" w:rsidRDefault="00393DA5" w:rsidP="00B929D6">
      <w:pPr>
        <w:pStyle w:val="Beschriftung"/>
      </w:pPr>
      <w:r>
        <w:t xml:space="preserve">Answer </w:t>
      </w:r>
      <w:r w:rsidR="00961902">
        <w:t>19</w:t>
      </w:r>
      <w:r w:rsidR="000B7E3A">
        <w:t>:</w:t>
      </w:r>
    </w:p>
    <w:p w:rsidR="000C43FA" w:rsidRDefault="000C43FA" w:rsidP="000C43FA">
      <w:r w:rsidRPr="007A3FF7">
        <w:t>We fully agree.</w:t>
      </w:r>
    </w:p>
    <w:p w:rsidR="00393DA5" w:rsidRPr="00393DA5" w:rsidRDefault="00393DA5" w:rsidP="00393DA5"/>
    <w:p w:rsidR="00865E0F" w:rsidRDefault="008E441A" w:rsidP="008E441A">
      <w:pPr>
        <w:pStyle w:val="berschrift1"/>
        <w:numPr>
          <w:ilvl w:val="0"/>
          <w:numId w:val="0"/>
        </w:numPr>
        <w:ind w:left="360"/>
      </w:pPr>
      <w:bookmarkStart w:id="19" w:name="_Toc357780197"/>
      <w:bookmarkStart w:id="20" w:name="_Toc359318915"/>
      <w:bookmarkStart w:id="21" w:name="_Toc359335098"/>
      <w:bookmarkStart w:id="22" w:name="_Toc359338706"/>
      <w:r>
        <w:t xml:space="preserve">4. </w:t>
      </w:r>
      <w:r w:rsidR="00865E0F">
        <w:t>D</w:t>
      </w:r>
      <w:r w:rsidR="00865E0F" w:rsidRPr="006165A2">
        <w:t xml:space="preserve">etermination of the phase in, and the </w:t>
      </w:r>
      <w:r w:rsidR="00865E0F">
        <w:t>categories</w:t>
      </w:r>
      <w:r w:rsidR="00865E0F" w:rsidRPr="006165A2">
        <w:t xml:space="preserve"> of counterparties to which the </w:t>
      </w:r>
      <w:r w:rsidR="00865E0F">
        <w:t xml:space="preserve">CO </w:t>
      </w:r>
      <w:r w:rsidR="00865E0F" w:rsidRPr="006165A2">
        <w:t>would apply</w:t>
      </w:r>
      <w:bookmarkEnd w:id="19"/>
      <w:bookmarkEnd w:id="20"/>
      <w:bookmarkEnd w:id="21"/>
      <w:bookmarkEnd w:id="22"/>
    </w:p>
    <w:p w:rsidR="00857689" w:rsidRDefault="00857689" w:rsidP="00857689">
      <w:pPr>
        <w:pStyle w:val="berschrift2"/>
        <w:numPr>
          <w:ilvl w:val="0"/>
          <w:numId w:val="0"/>
        </w:numPr>
        <w:ind w:left="1425"/>
      </w:pPr>
      <w:bookmarkStart w:id="23" w:name="_Toc359335099"/>
      <w:r>
        <w:t>4.1. Dates, phase in, categories of counterparties</w:t>
      </w:r>
      <w:bookmarkEnd w:id="23"/>
    </w:p>
    <w:p w:rsidR="004740A5" w:rsidRPr="004740A5" w:rsidRDefault="004740A5" w:rsidP="004740A5">
      <w:pPr>
        <w:pStyle w:val="Beschriftung"/>
      </w:pPr>
      <w:r>
        <w:t>Comments on paragraph</w:t>
      </w:r>
      <w:r w:rsidR="004C273E">
        <w:t>s</w:t>
      </w:r>
      <w:r>
        <w:t xml:space="preserve"> 106 to 115:</w:t>
      </w:r>
    </w:p>
    <w:p w:rsidR="004513CD" w:rsidRDefault="004513CD" w:rsidP="004513CD">
      <w:pPr>
        <w:rPr>
          <w:lang w:eastAsia="de-DE"/>
        </w:rPr>
      </w:pPr>
      <w:r w:rsidRPr="00DE494E">
        <w:rPr>
          <w:lang w:eastAsia="de-DE"/>
        </w:rPr>
        <w:t xml:space="preserve">We have no </w:t>
      </w:r>
      <w:r>
        <w:rPr>
          <w:lang w:eastAsia="de-DE"/>
        </w:rPr>
        <w:t xml:space="preserve">additional </w:t>
      </w:r>
      <w:r w:rsidRPr="00DE494E">
        <w:rPr>
          <w:lang w:eastAsia="de-DE"/>
        </w:rPr>
        <w:t xml:space="preserve">comments as regards paragraphs </w:t>
      </w:r>
      <w:r>
        <w:rPr>
          <w:lang w:eastAsia="de-DE"/>
        </w:rPr>
        <w:t>106</w:t>
      </w:r>
      <w:r w:rsidRPr="00DE494E">
        <w:rPr>
          <w:lang w:eastAsia="de-DE"/>
        </w:rPr>
        <w:t xml:space="preserve"> to </w:t>
      </w:r>
      <w:r>
        <w:rPr>
          <w:lang w:eastAsia="de-DE"/>
        </w:rPr>
        <w:t>115</w:t>
      </w:r>
      <w:r w:rsidRPr="00DE494E">
        <w:rPr>
          <w:lang w:eastAsia="de-DE"/>
        </w:rPr>
        <w:t>.</w:t>
      </w:r>
    </w:p>
    <w:p w:rsidR="004740A5" w:rsidRPr="004740A5" w:rsidRDefault="004740A5" w:rsidP="004740A5">
      <w:pPr>
        <w:rPr>
          <w:lang w:eastAsia="de-DE"/>
        </w:rPr>
      </w:pPr>
    </w:p>
    <w:p w:rsidR="00865E0F" w:rsidRDefault="00865E0F" w:rsidP="00B929D6">
      <w:pPr>
        <w:pStyle w:val="Bold"/>
      </w:pPr>
      <w:r>
        <w:t xml:space="preserve">Question 20 (dates, phase in): </w:t>
      </w:r>
    </w:p>
    <w:p w:rsidR="00561C14" w:rsidRPr="00561C14" w:rsidRDefault="00561C14" w:rsidP="00561C14">
      <w:r w:rsidRPr="00561C14">
        <w:t xml:space="preserve">What would you consider to be the shortest delay to impose a clearing obligation to a class of OTC derivatives when there are several CCPs available? And when there is only one CCP available? </w:t>
      </w:r>
    </w:p>
    <w:p w:rsidR="00561C14" w:rsidRPr="00561C14" w:rsidRDefault="00561C14" w:rsidP="00561C14">
      <w:r w:rsidRPr="00561C14">
        <w:t>Please specify in your answer whether the cause of delay is due to operational issues (e.g. time for CCP/counterparties to be ready for the CO) and/or to market issues (e.g. time for a CCP to add a new product to its offering).</w:t>
      </w:r>
    </w:p>
    <w:p w:rsidR="00393DA5" w:rsidRDefault="00393DA5" w:rsidP="00B929D6">
      <w:pPr>
        <w:pStyle w:val="Beschriftung"/>
      </w:pPr>
      <w:r>
        <w:t xml:space="preserve">Answer </w:t>
      </w:r>
      <w:r w:rsidR="00961902">
        <w:t>20</w:t>
      </w:r>
      <w:r w:rsidR="000B7E3A">
        <w:t>:</w:t>
      </w:r>
    </w:p>
    <w:p w:rsidR="000C43FA" w:rsidRPr="007A3FF7" w:rsidRDefault="000C43FA" w:rsidP="000C43FA">
      <w:r w:rsidRPr="007A3FF7">
        <w:t xml:space="preserve">If </w:t>
      </w:r>
      <w:r w:rsidR="004513CD">
        <w:t xml:space="preserve">a number of </w:t>
      </w:r>
      <w:r w:rsidRPr="007A3FF7">
        <w:t xml:space="preserve">CCPs </w:t>
      </w:r>
      <w:r w:rsidR="004513CD">
        <w:t xml:space="preserve">should be </w:t>
      </w:r>
      <w:r w:rsidRPr="007A3FF7">
        <w:t>available</w:t>
      </w:r>
      <w:r w:rsidR="004513CD">
        <w:t xml:space="preserve">, </w:t>
      </w:r>
      <w:r w:rsidRPr="007A3FF7">
        <w:t>th</w:t>
      </w:r>
      <w:r w:rsidR="004513CD">
        <w:t>e</w:t>
      </w:r>
      <w:r w:rsidRPr="007A3FF7">
        <w:t xml:space="preserve"> shortest delay </w:t>
      </w:r>
      <w:r w:rsidR="004513CD">
        <w:t xml:space="preserve">should be determined themselves, because only the CCP will know, </w:t>
      </w:r>
      <w:r w:rsidRPr="007A3FF7">
        <w:t xml:space="preserve">how long it will take to get in alignment with the requirements. We estimate </w:t>
      </w:r>
      <w:r w:rsidR="004513CD">
        <w:t xml:space="preserve">this will take </w:t>
      </w:r>
      <w:r w:rsidRPr="007A3FF7">
        <w:t xml:space="preserve">at least one and a half year. If there is only one CCP we see a huge concentration on risk and no competition. We estimate </w:t>
      </w:r>
      <w:r w:rsidR="004513CD">
        <w:t xml:space="preserve">this will take </w:t>
      </w:r>
      <w:r w:rsidRPr="007A3FF7">
        <w:t>at least up to two and a half years to give sufficient time to develop clearing services.</w:t>
      </w:r>
    </w:p>
    <w:p w:rsidR="000C43FA" w:rsidRPr="007A3FF7" w:rsidRDefault="000C43FA" w:rsidP="000C43FA"/>
    <w:p w:rsidR="000C43FA" w:rsidRPr="007A3FF7" w:rsidRDefault="000C43FA" w:rsidP="000C43FA">
      <w:r w:rsidRPr="007A3FF7">
        <w:t xml:space="preserve">From a buy-side perspective a minimum time frame of one year </w:t>
      </w:r>
      <w:r w:rsidR="004513CD">
        <w:t xml:space="preserve">should be </w:t>
      </w:r>
      <w:r w:rsidRPr="007A3FF7">
        <w:t xml:space="preserve">foreseen </w:t>
      </w:r>
      <w:r w:rsidR="004513CD">
        <w:t xml:space="preserve">in order </w:t>
      </w:r>
      <w:r w:rsidRPr="007A3FF7">
        <w:t xml:space="preserve">to get ready for clearing a new product. At least all necessary tasks </w:t>
      </w:r>
      <w:r w:rsidR="004513CD">
        <w:t xml:space="preserve">- </w:t>
      </w:r>
      <w:r w:rsidRPr="007A3FF7">
        <w:t xml:space="preserve">particularly where external providers </w:t>
      </w:r>
      <w:r w:rsidR="004513CD">
        <w:t>o</w:t>
      </w:r>
      <w:r w:rsidRPr="007A3FF7">
        <w:t xml:space="preserve">r </w:t>
      </w:r>
      <w:r w:rsidR="004513CD">
        <w:t xml:space="preserve">a huge number of </w:t>
      </w:r>
      <w:r w:rsidRPr="007A3FF7">
        <w:t xml:space="preserve">market participants </w:t>
      </w:r>
      <w:r w:rsidR="004513CD">
        <w:t xml:space="preserve">are involved - </w:t>
      </w:r>
      <w:r w:rsidRPr="007A3FF7">
        <w:t>should</w:t>
      </w:r>
      <w:r>
        <w:t xml:space="preserve"> be</w:t>
      </w:r>
      <w:r w:rsidRPr="007A3FF7">
        <w:t xml:space="preserve"> </w:t>
      </w:r>
      <w:r w:rsidR="004513CD">
        <w:t xml:space="preserve">carefully </w:t>
      </w:r>
      <w:r w:rsidRPr="007A3FF7">
        <w:t>considered.</w:t>
      </w:r>
    </w:p>
    <w:p w:rsidR="00393DA5" w:rsidRPr="00393DA5" w:rsidRDefault="00393DA5" w:rsidP="00393DA5"/>
    <w:p w:rsidR="00865E0F" w:rsidRDefault="00741028" w:rsidP="00B929D6">
      <w:pPr>
        <w:pStyle w:val="Bold"/>
      </w:pPr>
      <w:r w:rsidRPr="00741028">
        <w:t>Question 21 (dates, phase in):</w:t>
      </w:r>
    </w:p>
    <w:p w:rsidR="00561C14" w:rsidRDefault="00561C14" w:rsidP="00B929D6">
      <w:pPr>
        <w:pStyle w:val="Beschriftung"/>
        <w:rPr>
          <w:b w:val="0"/>
          <w:bCs w:val="0"/>
          <w:color w:val="auto"/>
          <w:szCs w:val="20"/>
        </w:rPr>
      </w:pPr>
      <w:r w:rsidRPr="00561C14">
        <w:rPr>
          <w:b w:val="0"/>
          <w:bCs w:val="0"/>
          <w:color w:val="auto"/>
          <w:szCs w:val="20"/>
        </w:rPr>
        <w:t xml:space="preserve">What would you consider to be a reasonable delay to allow CCPs which clear the same asset class or a similar Class+ to clear a new Class+? </w:t>
      </w:r>
    </w:p>
    <w:p w:rsidR="00393DA5" w:rsidRDefault="00393DA5" w:rsidP="00B929D6">
      <w:pPr>
        <w:pStyle w:val="Beschriftung"/>
      </w:pPr>
      <w:r>
        <w:t xml:space="preserve">Answer </w:t>
      </w:r>
      <w:r w:rsidR="00961902">
        <w:t>21</w:t>
      </w:r>
      <w:r w:rsidR="000B7E3A">
        <w:t>:</w:t>
      </w:r>
    </w:p>
    <w:p w:rsidR="000C43FA" w:rsidRPr="007A3FF7" w:rsidRDefault="000C43FA" w:rsidP="000C43FA">
      <w:r w:rsidRPr="007A3FF7">
        <w:t>A reasonable delay would be one year.</w:t>
      </w:r>
    </w:p>
    <w:p w:rsidR="00393DA5" w:rsidRDefault="00393DA5" w:rsidP="00393DA5"/>
    <w:p w:rsidR="004740A5" w:rsidRPr="004740A5" w:rsidRDefault="004740A5" w:rsidP="004740A5">
      <w:pPr>
        <w:pStyle w:val="Beschriftung"/>
      </w:pPr>
      <w:r>
        <w:t>Comments on paragraph</w:t>
      </w:r>
      <w:r w:rsidR="004C273E">
        <w:t>s</w:t>
      </w:r>
      <w:r>
        <w:t xml:space="preserve"> 116 to 119:</w:t>
      </w:r>
    </w:p>
    <w:p w:rsidR="004513CD" w:rsidRDefault="004513CD" w:rsidP="004513CD">
      <w:pPr>
        <w:rPr>
          <w:lang w:eastAsia="de-DE"/>
        </w:rPr>
      </w:pPr>
      <w:r w:rsidRPr="00DE494E">
        <w:rPr>
          <w:lang w:eastAsia="de-DE"/>
        </w:rPr>
        <w:t xml:space="preserve">We have no </w:t>
      </w:r>
      <w:r>
        <w:rPr>
          <w:lang w:eastAsia="de-DE"/>
        </w:rPr>
        <w:t xml:space="preserve">additional </w:t>
      </w:r>
      <w:r w:rsidRPr="00DE494E">
        <w:rPr>
          <w:lang w:eastAsia="de-DE"/>
        </w:rPr>
        <w:t xml:space="preserve">comments as regards paragraphs </w:t>
      </w:r>
      <w:r>
        <w:rPr>
          <w:lang w:eastAsia="de-DE"/>
        </w:rPr>
        <w:t>116</w:t>
      </w:r>
      <w:r w:rsidRPr="00DE494E">
        <w:rPr>
          <w:lang w:eastAsia="de-DE"/>
        </w:rPr>
        <w:t xml:space="preserve"> to </w:t>
      </w:r>
      <w:r>
        <w:rPr>
          <w:lang w:eastAsia="de-DE"/>
        </w:rPr>
        <w:t>119</w:t>
      </w:r>
      <w:r w:rsidRPr="00DE494E">
        <w:rPr>
          <w:lang w:eastAsia="de-DE"/>
        </w:rPr>
        <w:t>.</w:t>
      </w:r>
    </w:p>
    <w:p w:rsidR="004740A5" w:rsidRPr="00393DA5" w:rsidRDefault="004740A5" w:rsidP="00393DA5"/>
    <w:p w:rsidR="00741028" w:rsidRPr="00741028" w:rsidRDefault="00741028" w:rsidP="00B929D6">
      <w:pPr>
        <w:pStyle w:val="Bold"/>
      </w:pPr>
      <w:r w:rsidRPr="00741028">
        <w:t xml:space="preserve">Question 22 (dates, phase in): </w:t>
      </w:r>
    </w:p>
    <w:p w:rsidR="00741028" w:rsidRDefault="00561C14" w:rsidP="00D54F70">
      <w:r w:rsidRPr="00561C14">
        <w:t>What should be the assumption regarding market share which the CCP would have to be able to assume? Should it be requested that each CCP be able to handle the whole volume to tackle the worst case scenario?</w:t>
      </w:r>
      <w:r w:rsidR="00741028" w:rsidRPr="00741028">
        <w:tab/>
      </w:r>
    </w:p>
    <w:p w:rsidR="00393DA5" w:rsidRDefault="00393DA5" w:rsidP="00B929D6">
      <w:pPr>
        <w:pStyle w:val="Beschriftung"/>
      </w:pPr>
      <w:r>
        <w:t xml:space="preserve">Answer </w:t>
      </w:r>
      <w:r w:rsidR="00961902">
        <w:t>22</w:t>
      </w:r>
      <w:r w:rsidR="000B7E3A">
        <w:t>:</w:t>
      </w:r>
    </w:p>
    <w:p w:rsidR="00765431" w:rsidRPr="00765431" w:rsidRDefault="00765431" w:rsidP="00765431">
      <w:r w:rsidRPr="00765431">
        <w:t xml:space="preserve">A CCP </w:t>
      </w:r>
      <w:r w:rsidR="00086D68">
        <w:t xml:space="preserve">should </w:t>
      </w:r>
      <w:r w:rsidRPr="00765431">
        <w:t>comply with the standards set out and make sure that in any case significant volumes can be managed properly.</w:t>
      </w:r>
    </w:p>
    <w:p w:rsidR="00765431" w:rsidRPr="009D3833" w:rsidRDefault="00765431" w:rsidP="00765431">
      <w:pPr>
        <w:rPr>
          <w:b/>
        </w:rPr>
      </w:pPr>
    </w:p>
    <w:p w:rsidR="00393DA5" w:rsidRPr="00393DA5" w:rsidRDefault="00393DA5" w:rsidP="00393DA5"/>
    <w:p w:rsidR="00741028" w:rsidRPr="00741028" w:rsidRDefault="00741028" w:rsidP="00B929D6">
      <w:pPr>
        <w:pStyle w:val="Bold"/>
      </w:pPr>
      <w:r w:rsidRPr="00741028">
        <w:t xml:space="preserve">Question 23 (dates, phase in): </w:t>
      </w:r>
    </w:p>
    <w:p w:rsidR="00741028" w:rsidRDefault="00561C14" w:rsidP="00D54F70">
      <w:r w:rsidRPr="00561C14">
        <w:t>What should be the elements (e.g. number of transactions, increase in risks, number of active counterparties, new jurisdiction involved) for ESMA to investigate, after consulting the NCAs responsible for CCPs authorisation, on the ability of the relevant CCPs to handle the expected volume and to manage the risk arising from the clearing of the relevant class of OTC derivatives?</w:t>
      </w:r>
      <w:r w:rsidR="00741028" w:rsidRPr="00741028">
        <w:tab/>
      </w:r>
    </w:p>
    <w:p w:rsidR="00393DA5" w:rsidRDefault="00393DA5" w:rsidP="00B929D6">
      <w:pPr>
        <w:pStyle w:val="Beschriftung"/>
      </w:pPr>
      <w:r>
        <w:t xml:space="preserve">Answer </w:t>
      </w:r>
      <w:r w:rsidR="00961902">
        <w:t>23</w:t>
      </w:r>
      <w:r w:rsidR="000B7E3A">
        <w:t>:</w:t>
      </w:r>
    </w:p>
    <w:p w:rsidR="00765431" w:rsidRPr="007A3FF7" w:rsidRDefault="00765431" w:rsidP="00765431">
      <w:r w:rsidRPr="007A3FF7">
        <w:t xml:space="preserve">Relevant elements </w:t>
      </w:r>
      <w:r w:rsidR="00086D68">
        <w:t>should be: The n</w:t>
      </w:r>
      <w:r w:rsidRPr="007A3FF7">
        <w:t xml:space="preserve">umber of transactions, risk scenarios under </w:t>
      </w:r>
      <w:r w:rsidR="00086D68">
        <w:t xml:space="preserve">the </w:t>
      </w:r>
      <w:r w:rsidRPr="007A3FF7">
        <w:t>estimated maximum volume cleared</w:t>
      </w:r>
      <w:r w:rsidR="00086D68">
        <w:t>,</w:t>
      </w:r>
      <w:r w:rsidRPr="007A3FF7">
        <w:t xml:space="preserve"> </w:t>
      </w:r>
      <w:r w:rsidR="00086D68">
        <w:t xml:space="preserve">the </w:t>
      </w:r>
      <w:r w:rsidRPr="007A3FF7">
        <w:t xml:space="preserve">number of counterparties, </w:t>
      </w:r>
      <w:r w:rsidR="00086D68">
        <w:t xml:space="preserve">the </w:t>
      </w:r>
      <w:r w:rsidRPr="007A3FF7">
        <w:t xml:space="preserve">assessment on financial stability of </w:t>
      </w:r>
      <w:r w:rsidR="00086D68">
        <w:t xml:space="preserve">the </w:t>
      </w:r>
      <w:r w:rsidRPr="007A3FF7">
        <w:t xml:space="preserve">CCP and the respective members. Jurisdictions </w:t>
      </w:r>
      <w:r w:rsidR="00086D68">
        <w:t xml:space="preserve">should </w:t>
      </w:r>
      <w:r w:rsidRPr="007A3FF7">
        <w:t xml:space="preserve">also </w:t>
      </w:r>
      <w:r w:rsidR="00086D68">
        <w:t xml:space="preserve">be </w:t>
      </w:r>
      <w:r w:rsidRPr="007A3FF7">
        <w:t>part of the elements due to the fact that insol</w:t>
      </w:r>
      <w:r>
        <w:t>v</w:t>
      </w:r>
      <w:r w:rsidRPr="007A3FF7">
        <w:t xml:space="preserve">ency laws are spread along the different jurisdictions and for participants </w:t>
      </w:r>
      <w:r w:rsidR="00086D68">
        <w:t xml:space="preserve">are </w:t>
      </w:r>
      <w:r w:rsidRPr="007A3FF7">
        <w:t>difficult to assess.</w:t>
      </w:r>
    </w:p>
    <w:p w:rsidR="00393DA5" w:rsidRPr="00393DA5" w:rsidRDefault="00393DA5" w:rsidP="00393DA5"/>
    <w:p w:rsidR="00741028" w:rsidRPr="00741028" w:rsidRDefault="00741028" w:rsidP="00B929D6">
      <w:pPr>
        <w:pStyle w:val="Bold"/>
      </w:pPr>
      <w:r w:rsidRPr="00741028">
        <w:t xml:space="preserve">Question 24 (dates, phase in): </w:t>
      </w:r>
    </w:p>
    <w:p w:rsidR="00561C14" w:rsidRPr="00561C14" w:rsidRDefault="00561C14" w:rsidP="00561C14">
      <w:r w:rsidRPr="00561C14">
        <w:t xml:space="preserve">Should there be a default period of [x] months whenever there is a need for a CCP to upgrade its service considering incompressible internal/external validation processes? If not, how to evaluate the time to upgrade services based on the result of the criteria assessment? </w:t>
      </w:r>
    </w:p>
    <w:p w:rsidR="00393DA5" w:rsidRDefault="00393DA5" w:rsidP="00B929D6">
      <w:pPr>
        <w:pStyle w:val="Beschriftung"/>
      </w:pPr>
      <w:r>
        <w:t xml:space="preserve">Answer </w:t>
      </w:r>
      <w:r w:rsidR="00961902">
        <w:t>24</w:t>
      </w:r>
      <w:r w:rsidR="000B7E3A">
        <w:t>:</w:t>
      </w:r>
    </w:p>
    <w:p w:rsidR="00765431" w:rsidRPr="007A3FF7" w:rsidRDefault="00765431" w:rsidP="00765431">
      <w:r w:rsidRPr="007A3FF7">
        <w:t xml:space="preserve">A default period based approach </w:t>
      </w:r>
      <w:r w:rsidR="00086D68">
        <w:t xml:space="preserve">might be </w:t>
      </w:r>
      <w:r w:rsidRPr="007A3FF7">
        <w:t>too narrow</w:t>
      </w:r>
      <w:r w:rsidR="00086D68">
        <w:t xml:space="preserve">. </w:t>
      </w:r>
    </w:p>
    <w:p w:rsidR="004740A5" w:rsidRPr="004740A5" w:rsidRDefault="004740A5" w:rsidP="005F1A98"/>
    <w:p w:rsidR="004740A5" w:rsidRPr="004740A5" w:rsidRDefault="004740A5" w:rsidP="004740A5">
      <w:pPr>
        <w:pStyle w:val="Beschriftung"/>
      </w:pPr>
      <w:r>
        <w:t>Comments on paragraph</w:t>
      </w:r>
      <w:r w:rsidR="004C273E">
        <w:t>s</w:t>
      </w:r>
      <w:r>
        <w:t xml:space="preserve"> 120 to 128:</w:t>
      </w:r>
    </w:p>
    <w:p w:rsidR="004513CD" w:rsidRDefault="004513CD" w:rsidP="004513CD">
      <w:pPr>
        <w:rPr>
          <w:lang w:eastAsia="de-DE"/>
        </w:rPr>
      </w:pPr>
      <w:r w:rsidRPr="00DE494E">
        <w:rPr>
          <w:lang w:eastAsia="de-DE"/>
        </w:rPr>
        <w:t xml:space="preserve">We have no </w:t>
      </w:r>
      <w:r>
        <w:rPr>
          <w:lang w:eastAsia="de-DE"/>
        </w:rPr>
        <w:t xml:space="preserve">additional </w:t>
      </w:r>
      <w:r w:rsidRPr="00DE494E">
        <w:rPr>
          <w:lang w:eastAsia="de-DE"/>
        </w:rPr>
        <w:t xml:space="preserve">comments as regards paragraphs </w:t>
      </w:r>
      <w:r>
        <w:rPr>
          <w:lang w:eastAsia="de-DE"/>
        </w:rPr>
        <w:t>1</w:t>
      </w:r>
      <w:r w:rsidR="00642332">
        <w:rPr>
          <w:lang w:eastAsia="de-DE"/>
        </w:rPr>
        <w:t>20</w:t>
      </w:r>
      <w:r w:rsidRPr="00DE494E">
        <w:rPr>
          <w:lang w:eastAsia="de-DE"/>
        </w:rPr>
        <w:t xml:space="preserve"> to </w:t>
      </w:r>
      <w:r>
        <w:rPr>
          <w:lang w:eastAsia="de-DE"/>
        </w:rPr>
        <w:t>1</w:t>
      </w:r>
      <w:r w:rsidR="00642332">
        <w:rPr>
          <w:lang w:eastAsia="de-DE"/>
        </w:rPr>
        <w:t>28</w:t>
      </w:r>
      <w:r w:rsidRPr="00DE494E">
        <w:rPr>
          <w:lang w:eastAsia="de-DE"/>
        </w:rPr>
        <w:t>.</w:t>
      </w:r>
    </w:p>
    <w:p w:rsidR="00865E0F" w:rsidRDefault="00741028" w:rsidP="00B929D6">
      <w:pPr>
        <w:pStyle w:val="Bold"/>
      </w:pPr>
      <w:r w:rsidRPr="00741028">
        <w:t>Question 25 (categories of counterparties):</w:t>
      </w:r>
    </w:p>
    <w:p w:rsidR="00561C14" w:rsidRDefault="00561C14" w:rsidP="004740A5">
      <w:pPr>
        <w:pStyle w:val="Beschriftung"/>
        <w:rPr>
          <w:b w:val="0"/>
          <w:bCs w:val="0"/>
          <w:color w:val="auto"/>
          <w:szCs w:val="20"/>
        </w:rPr>
      </w:pPr>
      <w:r w:rsidRPr="00561C14">
        <w:rPr>
          <w:b w:val="0"/>
          <w:bCs w:val="0"/>
          <w:color w:val="auto"/>
          <w:szCs w:val="20"/>
        </w:rPr>
        <w:t xml:space="preserve">Please indicate your preference between the options presented. Would you rather use an option that is not detailed here? Under Options B and C, do you agree to base the clearing access approach on the </w:t>
      </w:r>
      <w:r w:rsidRPr="00561C14">
        <w:rPr>
          <w:b w:val="0"/>
          <w:bCs w:val="0"/>
          <w:color w:val="auto"/>
          <w:szCs w:val="20"/>
          <w:u w:val="single"/>
        </w:rPr>
        <w:t>asset class</w:t>
      </w:r>
      <w:r w:rsidRPr="00561C14">
        <w:rPr>
          <w:b w:val="0"/>
          <w:bCs w:val="0"/>
          <w:color w:val="auto"/>
          <w:szCs w:val="20"/>
        </w:rPr>
        <w:t xml:space="preserve"> to which the counterparties have access? What should be the date on which clearing access/threshold calculation should be assessed?</w:t>
      </w:r>
    </w:p>
    <w:p w:rsidR="00393DA5" w:rsidRDefault="00393DA5" w:rsidP="004740A5">
      <w:pPr>
        <w:pStyle w:val="Beschriftung"/>
      </w:pPr>
      <w:r>
        <w:t xml:space="preserve">Answer </w:t>
      </w:r>
      <w:r w:rsidR="00961902">
        <w:t>25</w:t>
      </w:r>
      <w:r w:rsidR="000B7E3A">
        <w:t>:</w:t>
      </w:r>
    </w:p>
    <w:p w:rsidR="00765431" w:rsidRDefault="00765431" w:rsidP="00765431">
      <w:r>
        <w:t xml:space="preserve">From our view Option C is </w:t>
      </w:r>
      <w:r w:rsidR="006B0139">
        <w:t>preferable;</w:t>
      </w:r>
      <w:r>
        <w:t xml:space="preserve"> the clearing access approach should be based on the respective asset class. </w:t>
      </w:r>
    </w:p>
    <w:p w:rsidR="00741028" w:rsidRPr="00741028" w:rsidRDefault="00741028" w:rsidP="005F1A98">
      <w:r w:rsidRPr="00741028">
        <w:tab/>
      </w:r>
    </w:p>
    <w:p w:rsidR="00741028" w:rsidRPr="00741028" w:rsidRDefault="00741028" w:rsidP="00B929D6">
      <w:pPr>
        <w:pStyle w:val="Bold"/>
      </w:pPr>
      <w:r w:rsidRPr="00741028">
        <w:t xml:space="preserve">Question 26 (categories of counterparties): </w:t>
      </w:r>
    </w:p>
    <w:p w:rsidR="00741028" w:rsidRDefault="00561C14" w:rsidP="00D54F70">
      <w:r w:rsidRPr="00561C14">
        <w:t>What would in your view be the appropriate timeframe for counterparties with / without access to clearing in the relevant asset class?</w:t>
      </w:r>
      <w:r w:rsidR="00741028" w:rsidRPr="00741028">
        <w:tab/>
      </w:r>
    </w:p>
    <w:p w:rsidR="00393DA5" w:rsidRDefault="00393DA5" w:rsidP="00B929D6">
      <w:pPr>
        <w:pStyle w:val="Beschriftung"/>
      </w:pPr>
      <w:r>
        <w:t xml:space="preserve">Answer </w:t>
      </w:r>
      <w:r w:rsidR="00961902">
        <w:t>26</w:t>
      </w:r>
      <w:r w:rsidR="000B7E3A">
        <w:t>:</w:t>
      </w:r>
    </w:p>
    <w:p w:rsidR="00765431" w:rsidRPr="007A3FF7" w:rsidRDefault="00765431" w:rsidP="00765431">
      <w:r w:rsidRPr="007A3FF7">
        <w:t>A minimum time frame of 12-18 months should be appropriate as long as market standards are given to set up the clearing obligation.</w:t>
      </w:r>
    </w:p>
    <w:p w:rsidR="00765431" w:rsidRPr="007A3FF7" w:rsidRDefault="00765431" w:rsidP="00765431">
      <w:pPr>
        <w:rPr>
          <w:b/>
        </w:rPr>
      </w:pPr>
    </w:p>
    <w:p w:rsidR="000B7E3A" w:rsidRPr="000B7E3A" w:rsidRDefault="000B7E3A" w:rsidP="000B7E3A"/>
    <w:p w:rsidR="004740A5" w:rsidRPr="004740A5" w:rsidRDefault="004740A5" w:rsidP="004740A5">
      <w:pPr>
        <w:pStyle w:val="Beschriftung"/>
      </w:pPr>
      <w:r>
        <w:t>Comments on paragraph</w:t>
      </w:r>
      <w:r w:rsidR="004C273E">
        <w:t>s</w:t>
      </w:r>
      <w:r>
        <w:t xml:space="preserve"> 129 to 130:</w:t>
      </w:r>
    </w:p>
    <w:p w:rsidR="00642332" w:rsidRDefault="00642332" w:rsidP="00642332">
      <w:pPr>
        <w:rPr>
          <w:lang w:eastAsia="de-DE"/>
        </w:rPr>
      </w:pPr>
      <w:r w:rsidRPr="00DE494E">
        <w:rPr>
          <w:lang w:eastAsia="de-DE"/>
        </w:rPr>
        <w:t xml:space="preserve">We have no </w:t>
      </w:r>
      <w:r>
        <w:rPr>
          <w:lang w:eastAsia="de-DE"/>
        </w:rPr>
        <w:t xml:space="preserve">additional </w:t>
      </w:r>
      <w:r w:rsidRPr="00DE494E">
        <w:rPr>
          <w:lang w:eastAsia="de-DE"/>
        </w:rPr>
        <w:t xml:space="preserve">comments as regards paragraphs </w:t>
      </w:r>
      <w:r>
        <w:rPr>
          <w:lang w:eastAsia="de-DE"/>
        </w:rPr>
        <w:t>129</w:t>
      </w:r>
      <w:r w:rsidRPr="00DE494E">
        <w:rPr>
          <w:lang w:eastAsia="de-DE"/>
        </w:rPr>
        <w:t xml:space="preserve"> to </w:t>
      </w:r>
      <w:r>
        <w:rPr>
          <w:lang w:eastAsia="de-DE"/>
        </w:rPr>
        <w:t>130</w:t>
      </w:r>
      <w:r w:rsidRPr="00DE494E">
        <w:rPr>
          <w:lang w:eastAsia="de-DE"/>
        </w:rPr>
        <w:t>.</w:t>
      </w:r>
    </w:p>
    <w:p w:rsidR="00393DA5" w:rsidRPr="00393DA5" w:rsidRDefault="00393DA5" w:rsidP="00393DA5"/>
    <w:p w:rsidR="00741028" w:rsidRPr="00741028" w:rsidRDefault="00741028" w:rsidP="00B929D6">
      <w:pPr>
        <w:pStyle w:val="Bold"/>
      </w:pPr>
      <w:r w:rsidRPr="00741028">
        <w:t xml:space="preserve">Question 27 (categories of counterparties): </w:t>
      </w:r>
    </w:p>
    <w:p w:rsidR="00741028" w:rsidRDefault="00561C14" w:rsidP="00D54F70">
      <w:r w:rsidRPr="00561C14">
        <w:t>Do you agree that a key factor to take into account when defining the phase in for the counterparties to comply with the clearing obligation will be the number of clearing members offering client clearing services? Is the client clearing capacity of the CCP also a relevant factor? What could be the other criteria?</w:t>
      </w:r>
      <w:r w:rsidR="00741028" w:rsidRPr="00741028">
        <w:tab/>
      </w:r>
    </w:p>
    <w:p w:rsidR="00393DA5" w:rsidRDefault="00393DA5" w:rsidP="00B929D6">
      <w:pPr>
        <w:pStyle w:val="Beschriftung"/>
      </w:pPr>
      <w:r>
        <w:t xml:space="preserve">Answer </w:t>
      </w:r>
      <w:r w:rsidR="00961902">
        <w:t>27</w:t>
      </w:r>
      <w:r w:rsidR="000B7E3A">
        <w:t>:</w:t>
      </w:r>
    </w:p>
    <w:p w:rsidR="00393DA5" w:rsidRPr="00393DA5" w:rsidRDefault="00765431" w:rsidP="00393DA5">
      <w:r w:rsidRPr="00765431">
        <w:t>This is a valid key factor and should be taken into account particularly for CCPs which try to get in competition and implement offerings with respect to existing CCPs. Indeed client clearing is a limiting factor due to operational constraint, i.e. management of collateral of a huge number of segregated account</w:t>
      </w:r>
      <w:r w:rsidR="00642332">
        <w:t xml:space="preserve">s </w:t>
      </w:r>
      <w:r w:rsidRPr="00765431">
        <w:t xml:space="preserve">under a fully physical segregation model which is one of the most used </w:t>
      </w:r>
      <w:r w:rsidR="00642332">
        <w:t xml:space="preserve">from </w:t>
      </w:r>
      <w:r w:rsidRPr="00765431">
        <w:t>our perspective.</w:t>
      </w:r>
    </w:p>
    <w:p w:rsidR="00865E0F" w:rsidRDefault="008E441A" w:rsidP="008E441A">
      <w:pPr>
        <w:pStyle w:val="berschrift2"/>
        <w:numPr>
          <w:ilvl w:val="0"/>
          <w:numId w:val="0"/>
        </w:numPr>
        <w:ind w:left="1425"/>
      </w:pPr>
      <w:bookmarkStart w:id="24" w:name="_Toc359335101"/>
      <w:r>
        <w:t xml:space="preserve">4.2. </w:t>
      </w:r>
      <w:r w:rsidR="00865E0F">
        <w:t>Minimum remaining maturity of the OTC derivative contracts referred to in EMIR Article 4(1</w:t>
      </w:r>
      <w:proofErr w:type="gramStart"/>
      <w:r w:rsidR="00865E0F">
        <w:t>)(</w:t>
      </w:r>
      <w:proofErr w:type="gramEnd"/>
      <w:r w:rsidR="00865E0F">
        <w:t>b)(ii)</w:t>
      </w:r>
      <w:bookmarkEnd w:id="24"/>
    </w:p>
    <w:p w:rsidR="004740A5" w:rsidRPr="004740A5" w:rsidRDefault="004740A5" w:rsidP="004740A5">
      <w:pPr>
        <w:pStyle w:val="Beschriftung"/>
      </w:pPr>
      <w:r>
        <w:t>Comments on paragraph</w:t>
      </w:r>
      <w:r w:rsidR="004C273E">
        <w:t>s</w:t>
      </w:r>
      <w:r>
        <w:t xml:space="preserve"> 131 to 135:</w:t>
      </w:r>
    </w:p>
    <w:p w:rsidR="00642332" w:rsidRDefault="00642332" w:rsidP="00642332">
      <w:pPr>
        <w:rPr>
          <w:lang w:eastAsia="de-DE"/>
        </w:rPr>
      </w:pPr>
      <w:r w:rsidRPr="00DE494E">
        <w:rPr>
          <w:lang w:eastAsia="de-DE"/>
        </w:rPr>
        <w:t xml:space="preserve">We have no </w:t>
      </w:r>
      <w:r>
        <w:rPr>
          <w:lang w:eastAsia="de-DE"/>
        </w:rPr>
        <w:t xml:space="preserve">additional </w:t>
      </w:r>
      <w:r w:rsidRPr="00DE494E">
        <w:rPr>
          <w:lang w:eastAsia="de-DE"/>
        </w:rPr>
        <w:t xml:space="preserve">comments as regards paragraphs </w:t>
      </w:r>
      <w:r>
        <w:rPr>
          <w:lang w:eastAsia="de-DE"/>
        </w:rPr>
        <w:t>131</w:t>
      </w:r>
      <w:r w:rsidRPr="00DE494E">
        <w:rPr>
          <w:lang w:eastAsia="de-DE"/>
        </w:rPr>
        <w:t xml:space="preserve"> to </w:t>
      </w:r>
      <w:r>
        <w:rPr>
          <w:lang w:eastAsia="de-DE"/>
        </w:rPr>
        <w:t>135</w:t>
      </w:r>
      <w:r w:rsidRPr="00DE494E">
        <w:rPr>
          <w:lang w:eastAsia="de-DE"/>
        </w:rPr>
        <w:t>.</w:t>
      </w:r>
    </w:p>
    <w:p w:rsidR="004740A5" w:rsidRDefault="004740A5" w:rsidP="005F1A98"/>
    <w:p w:rsidR="00865E0F" w:rsidRPr="00865E0F" w:rsidRDefault="00865E0F" w:rsidP="00B929D6">
      <w:pPr>
        <w:pStyle w:val="Bold"/>
      </w:pPr>
      <w:r w:rsidRPr="00865E0F">
        <w:t xml:space="preserve">Question 28 (remaining maturity): </w:t>
      </w:r>
    </w:p>
    <w:p w:rsidR="00561C14" w:rsidRDefault="00561C14" w:rsidP="00B929D6">
      <w:pPr>
        <w:pStyle w:val="Beschriftung"/>
        <w:rPr>
          <w:b w:val="0"/>
          <w:bCs w:val="0"/>
          <w:color w:val="auto"/>
          <w:szCs w:val="20"/>
        </w:rPr>
      </w:pPr>
      <w:r w:rsidRPr="00561C14">
        <w:rPr>
          <w:b w:val="0"/>
          <w:bCs w:val="0"/>
          <w:color w:val="auto"/>
          <w:szCs w:val="20"/>
        </w:rPr>
        <w:t xml:space="preserve">What are your views regarding the calibration of the remaining maturity of the contracts to be subject to the CO? What criteria should ESMA take into account when defining it? </w:t>
      </w:r>
    </w:p>
    <w:p w:rsidR="00393DA5" w:rsidRDefault="00393DA5" w:rsidP="00B929D6">
      <w:pPr>
        <w:pStyle w:val="Beschriftung"/>
      </w:pPr>
      <w:r>
        <w:t xml:space="preserve">Answer </w:t>
      </w:r>
      <w:r w:rsidR="00961902">
        <w:t>28</w:t>
      </w:r>
      <w:r w:rsidR="000B7E3A">
        <w:t>:</w:t>
      </w:r>
    </w:p>
    <w:p w:rsidR="00765431" w:rsidRPr="007A3FF7" w:rsidRDefault="00765431" w:rsidP="00765431">
      <w:r w:rsidRPr="008A5DBF">
        <w:t xml:space="preserve">We do not </w:t>
      </w:r>
      <w:r w:rsidR="008E55FB">
        <w:t xml:space="preserve">fully </w:t>
      </w:r>
      <w:r w:rsidRPr="008A5DBF">
        <w:t xml:space="preserve">agree with ESMA´s view. The remaining maturity should be longer </w:t>
      </w:r>
      <w:r w:rsidR="00157464">
        <w:t>from our point of view. F</w:t>
      </w:r>
      <w:r w:rsidRPr="008A5DBF">
        <w:t xml:space="preserve">rontloading should </w:t>
      </w:r>
      <w:r w:rsidR="00157464">
        <w:t xml:space="preserve">not </w:t>
      </w:r>
      <w:r w:rsidRPr="008A5DBF">
        <w:t>apply due to the fact that the</w:t>
      </w:r>
      <w:r w:rsidR="00157464">
        <w:t xml:space="preserve">se </w:t>
      </w:r>
      <w:r w:rsidRPr="008A5DBF">
        <w:t xml:space="preserve">contracts will fall under the risk mitigation requirements currently assessed by BCBS-IOSCO (margin requirements for </w:t>
      </w:r>
      <w:proofErr w:type="spellStart"/>
      <w:r w:rsidRPr="008A5DBF">
        <w:t>uncleared</w:t>
      </w:r>
      <w:proofErr w:type="spellEnd"/>
      <w:r w:rsidRPr="008A5DBF">
        <w:t xml:space="preserve"> OTCs) anyway.</w:t>
      </w:r>
    </w:p>
    <w:p w:rsidR="00393DA5" w:rsidRPr="00393DA5" w:rsidRDefault="00393DA5" w:rsidP="00393DA5"/>
    <w:p w:rsidR="00865E0F" w:rsidRDefault="008E441A" w:rsidP="008E441A">
      <w:pPr>
        <w:pStyle w:val="berschrift1"/>
        <w:numPr>
          <w:ilvl w:val="0"/>
          <w:numId w:val="0"/>
        </w:numPr>
        <w:ind w:left="360"/>
      </w:pPr>
      <w:bookmarkStart w:id="25" w:name="_Toc357780205"/>
      <w:bookmarkStart w:id="26" w:name="_Toc359318916"/>
      <w:bookmarkStart w:id="27" w:name="_Toc359335102"/>
      <w:bookmarkStart w:id="28" w:name="_Toc359338707"/>
      <w:r>
        <w:t xml:space="preserve">5. </w:t>
      </w:r>
      <w:r w:rsidR="00865E0F">
        <w:t>T</w:t>
      </w:r>
      <w:r w:rsidR="00865E0F" w:rsidRPr="003963C3">
        <w:t>he clearing obligation</w:t>
      </w:r>
      <w:bookmarkEnd w:id="25"/>
      <w:r w:rsidR="00865E0F">
        <w:t xml:space="preserve"> in specific cases</w:t>
      </w:r>
      <w:bookmarkEnd w:id="26"/>
      <w:bookmarkEnd w:id="27"/>
      <w:bookmarkEnd w:id="28"/>
    </w:p>
    <w:p w:rsidR="00865E0F" w:rsidRDefault="008E441A" w:rsidP="008E441A">
      <w:pPr>
        <w:pStyle w:val="berschrift2"/>
        <w:numPr>
          <w:ilvl w:val="0"/>
          <w:numId w:val="0"/>
        </w:numPr>
        <w:ind w:left="1425"/>
      </w:pPr>
      <w:bookmarkStart w:id="29" w:name="_Toc359335103"/>
      <w:r>
        <w:t xml:space="preserve">5.1. </w:t>
      </w:r>
      <w:r w:rsidR="00865E0F">
        <w:t>Contracts concluded with Covered Bond issuers</w:t>
      </w:r>
      <w:bookmarkEnd w:id="29"/>
      <w:r w:rsidR="00865E0F">
        <w:t xml:space="preserve"> </w:t>
      </w:r>
    </w:p>
    <w:p w:rsidR="000B7E3A" w:rsidRPr="004740A5" w:rsidRDefault="000B7E3A" w:rsidP="000B7E3A">
      <w:pPr>
        <w:pStyle w:val="Beschriftung"/>
      </w:pPr>
      <w:r>
        <w:t>Comments on paragraph 136</w:t>
      </w:r>
      <w:r w:rsidR="006A3868">
        <w:t xml:space="preserve"> to 138</w:t>
      </w:r>
      <w:r>
        <w:t>:</w:t>
      </w:r>
    </w:p>
    <w:p w:rsidR="00157464" w:rsidRDefault="00157464" w:rsidP="00157464">
      <w:pPr>
        <w:rPr>
          <w:lang w:eastAsia="de-DE"/>
        </w:rPr>
      </w:pPr>
      <w:r w:rsidRPr="00DE494E">
        <w:rPr>
          <w:lang w:eastAsia="de-DE"/>
        </w:rPr>
        <w:t xml:space="preserve">We have no </w:t>
      </w:r>
      <w:r>
        <w:rPr>
          <w:lang w:eastAsia="de-DE"/>
        </w:rPr>
        <w:t xml:space="preserve">additional </w:t>
      </w:r>
      <w:r w:rsidRPr="00DE494E">
        <w:rPr>
          <w:lang w:eastAsia="de-DE"/>
        </w:rPr>
        <w:t xml:space="preserve">comments as regards paragraphs </w:t>
      </w:r>
      <w:r>
        <w:rPr>
          <w:lang w:eastAsia="de-DE"/>
        </w:rPr>
        <w:t>136</w:t>
      </w:r>
      <w:r w:rsidRPr="00DE494E">
        <w:rPr>
          <w:lang w:eastAsia="de-DE"/>
        </w:rPr>
        <w:t xml:space="preserve"> to </w:t>
      </w:r>
      <w:r>
        <w:rPr>
          <w:lang w:eastAsia="de-DE"/>
        </w:rPr>
        <w:t>138</w:t>
      </w:r>
      <w:r w:rsidRPr="00DE494E">
        <w:rPr>
          <w:lang w:eastAsia="de-DE"/>
        </w:rPr>
        <w:t>.</w:t>
      </w:r>
    </w:p>
    <w:p w:rsidR="000B7E3A" w:rsidRPr="000B7E3A" w:rsidRDefault="000B7E3A" w:rsidP="000B7E3A">
      <w:pPr>
        <w:rPr>
          <w:lang w:eastAsia="de-DE"/>
        </w:rPr>
      </w:pPr>
    </w:p>
    <w:p w:rsidR="00741028" w:rsidRPr="00741028" w:rsidRDefault="00741028" w:rsidP="00B929D6">
      <w:pPr>
        <w:pStyle w:val="Bold"/>
      </w:pPr>
      <w:r w:rsidRPr="00741028">
        <w:t>Question 29 (covered bond</w:t>
      </w:r>
      <w:r w:rsidR="00D85697">
        <w:t>s</w:t>
      </w:r>
      <w:r w:rsidRPr="00741028">
        <w:t xml:space="preserve">): </w:t>
      </w:r>
    </w:p>
    <w:p w:rsidR="006A3868" w:rsidRPr="006A3868" w:rsidRDefault="006A3868" w:rsidP="006A3868">
      <w:r w:rsidRPr="006A3868">
        <w:t xml:space="preserve">Are there other specific features of the contracts concluded with covered bond issuers or with cover pools for covered bonds, to be considered by ESMA in the context of the clearing obligation? </w:t>
      </w:r>
    </w:p>
    <w:p w:rsidR="006A3868" w:rsidRDefault="006A3868" w:rsidP="006A3868">
      <w:pPr>
        <w:pStyle w:val="Beschriftung"/>
      </w:pPr>
      <w:r>
        <w:t>Answer 29</w:t>
      </w:r>
    </w:p>
    <w:p w:rsidR="00765431" w:rsidRPr="00E100D2" w:rsidRDefault="00765431" w:rsidP="00765431">
      <w:r w:rsidRPr="00E100D2">
        <w:t>Almost all European covered bond legal frameworks allow derivatives in the cover pool with the purpose of hedging risks, es</w:t>
      </w:r>
      <w:r w:rsidR="00157464">
        <w:t xml:space="preserve">sentially </w:t>
      </w:r>
      <w:r w:rsidRPr="00E100D2">
        <w:t xml:space="preserve">interest rate risks or currency </w:t>
      </w:r>
      <w:r w:rsidR="00157464" w:rsidRPr="00E100D2">
        <w:t>mismatches that</w:t>
      </w:r>
      <w:r w:rsidRPr="00E100D2">
        <w:t xml:space="preserve"> may arise from the usual activity of an issuer, and from fluctuation of interest and foreign exchange rates. These derivatives, which are mainly plain vanilla Cross Currency and Interest Rate swaps, are also designed to survive the issuer’s insolvency. In such a case, the source of payment will switch to the cover pool and the covered bond holders will need the hedging effect of the derivatives to continue to mitigate the risks of the cover pool. Hence, common master agreements are adapted or supplemented in order to ensure that the insolvency of the issuer does not qualify the counterparty to terminate the derivative contract.</w:t>
      </w:r>
    </w:p>
    <w:p w:rsidR="00765431" w:rsidRPr="00E100D2" w:rsidRDefault="00157464" w:rsidP="00765431">
      <w:r>
        <w:t>C</w:t>
      </w:r>
      <w:r w:rsidR="00765431" w:rsidRPr="00E100D2">
        <w:t>overed bond legislative frameworks in Europe provide for a particular risk mitigation technique. In some jurisdictions collateral posting is unilateral, i.e. the issuer never posts collateral for derivative whereas the counterparty (which benefits from a preferential claim over the cover assets) does when required.</w:t>
      </w:r>
    </w:p>
    <w:p w:rsidR="00157464" w:rsidRDefault="00157464" w:rsidP="00B929D6">
      <w:pPr>
        <w:pStyle w:val="Bold"/>
      </w:pPr>
    </w:p>
    <w:p w:rsidR="00741028" w:rsidRPr="00741028" w:rsidRDefault="00741028" w:rsidP="00B929D6">
      <w:pPr>
        <w:pStyle w:val="Bold"/>
      </w:pPr>
      <w:r w:rsidRPr="00741028">
        <w:t>Question 30 (covered bond</w:t>
      </w:r>
      <w:r w:rsidR="00D85697">
        <w:t>s</w:t>
      </w:r>
      <w:r w:rsidRPr="00741028">
        <w:t xml:space="preserve">): </w:t>
      </w:r>
    </w:p>
    <w:p w:rsidR="00741028" w:rsidRDefault="006A3868" w:rsidP="00D54F70">
      <w:r w:rsidRPr="006A3868">
        <w:t>What would be the legal or technical challenge faced by covered bonds issuers and CCPs, if a clearing obligation was imposed on some of the OTC derivative contracts included in the cover pools of covered bonds?</w:t>
      </w:r>
      <w:r w:rsidR="00741028" w:rsidRPr="00741028">
        <w:tab/>
      </w:r>
    </w:p>
    <w:p w:rsidR="00393DA5" w:rsidRDefault="00393DA5" w:rsidP="00B929D6">
      <w:pPr>
        <w:pStyle w:val="Beschriftung"/>
      </w:pPr>
      <w:r>
        <w:t xml:space="preserve">Answer </w:t>
      </w:r>
      <w:r w:rsidR="00961902">
        <w:t>30</w:t>
      </w:r>
    </w:p>
    <w:p w:rsidR="00765431" w:rsidRPr="00E100D2" w:rsidRDefault="00157464" w:rsidP="00765431">
      <w:r>
        <w:t xml:space="preserve">It might be doubtful, whether </w:t>
      </w:r>
      <w:r w:rsidR="00765431" w:rsidRPr="00E100D2">
        <w:t>cover derivatives could be cleared through CCPs. Our understanding is that, at present, CCPs are unable to differentiate between the derivative contracts of the insolvent issuing bank and those of the covered bond cover pool. Hence, either derivatives within the cover pool would be automatically terminated in the event of default of the covered bond issuer (making them more or less useless from a covered bond investor perspective) or derivatives in the cover pool of a covered bond</w:t>
      </w:r>
      <w:r w:rsidR="00765431">
        <w:t xml:space="preserve"> </w:t>
      </w:r>
      <w:r w:rsidR="00765431" w:rsidRPr="00E100D2">
        <w:t xml:space="preserve">would be ineligible to be cleared through a </w:t>
      </w:r>
      <w:r>
        <w:t>CCP (du</w:t>
      </w:r>
      <w:r w:rsidR="00765431" w:rsidRPr="00E100D2">
        <w:t>e to the fact that the derivative is designed to survive the insolvency of the issuing institution, whereas the standardised documentation requires that all derivatives be netted out at the time of the issuer’s insolvency).</w:t>
      </w:r>
    </w:p>
    <w:p w:rsidR="00765431" w:rsidRPr="00E100D2" w:rsidRDefault="00765431" w:rsidP="00765431">
      <w:r w:rsidRPr="00E100D2">
        <w:t> </w:t>
      </w:r>
    </w:p>
    <w:p w:rsidR="00765431" w:rsidRPr="00E100D2" w:rsidRDefault="00765431" w:rsidP="00765431">
      <w:r w:rsidRPr="00E100D2">
        <w:t>As described above, collateral posting for cover pool derivatives is often unilateral. Unfortunately, this technique does not fit central clearing systems which require bilateral exchange of collateral and, therefore, impedes these privileged derivatives used for covered bond hedging purposes from being cleared through CCPs.</w:t>
      </w:r>
    </w:p>
    <w:p w:rsidR="00393DA5" w:rsidRDefault="00393DA5" w:rsidP="00393DA5"/>
    <w:p w:rsidR="006A3868" w:rsidRDefault="006A3868" w:rsidP="006A3868">
      <w:pPr>
        <w:pStyle w:val="Bold"/>
      </w:pPr>
      <w:r>
        <w:t>Question 31</w:t>
      </w:r>
      <w:r w:rsidRPr="00741028">
        <w:t xml:space="preserve"> (covered bond</w:t>
      </w:r>
      <w:r w:rsidR="00D85697">
        <w:t>s</w:t>
      </w:r>
      <w:r w:rsidRPr="00741028">
        <w:t xml:space="preserve">): </w:t>
      </w:r>
    </w:p>
    <w:p w:rsidR="006A3868" w:rsidRPr="00741028" w:rsidRDefault="006A3868" w:rsidP="006A3868">
      <w:r w:rsidRPr="006A3868">
        <w:t xml:space="preserve">Have CCPs developed solutions to be able to differentiate the derivative contracts of the issuer from those of the cover pool? </w:t>
      </w:r>
    </w:p>
    <w:p w:rsidR="006A3868" w:rsidRDefault="006A3868" w:rsidP="006A3868">
      <w:pPr>
        <w:pStyle w:val="Beschriftung"/>
      </w:pPr>
      <w:r>
        <w:t>Answer 31</w:t>
      </w:r>
    </w:p>
    <w:p w:rsidR="00765431" w:rsidRPr="00E100D2" w:rsidRDefault="00765431" w:rsidP="00765431">
      <w:r w:rsidRPr="00E100D2">
        <w:t>Our understanding is that, at present, CCPs are unable to differentiate between the derivative contracts of the insolvent issuing bank and those of the covered bond cover pool. Posting collateral by the issuer would increase the costs for the issuer</w:t>
      </w:r>
      <w:r>
        <w:t xml:space="preserve"> </w:t>
      </w:r>
      <w:r w:rsidRPr="00E100D2">
        <w:t>(and would be reflected in the interest charge for public sector and mortgage borrowers) and would also result in a double protection of the counterparty as it still has access to the pool.</w:t>
      </w:r>
    </w:p>
    <w:p w:rsidR="00765431" w:rsidRPr="00E100D2" w:rsidRDefault="00765431" w:rsidP="00765431"/>
    <w:p w:rsidR="006A3868" w:rsidRDefault="006A3868" w:rsidP="00393DA5"/>
    <w:p w:rsidR="006A3868" w:rsidRDefault="006A3868" w:rsidP="006A3868">
      <w:pPr>
        <w:pStyle w:val="Bold"/>
      </w:pPr>
      <w:r>
        <w:t>Question 32</w:t>
      </w:r>
      <w:r w:rsidRPr="00741028">
        <w:t xml:space="preserve"> (covered bond</w:t>
      </w:r>
      <w:r w:rsidR="00D85697">
        <w:t>s</w:t>
      </w:r>
      <w:r w:rsidRPr="00741028">
        <w:t xml:space="preserve">): </w:t>
      </w:r>
    </w:p>
    <w:p w:rsidR="006A3868" w:rsidRPr="006A3868" w:rsidRDefault="006A3868" w:rsidP="006A3868">
      <w:r w:rsidRPr="006A3868">
        <w:t xml:space="preserve">Would an appropriate phase-in for these counterparties alleviate these challenges? </w:t>
      </w:r>
      <w:proofErr w:type="gramStart"/>
      <w:r w:rsidRPr="006A3868">
        <w:t>If so, how?</w:t>
      </w:r>
      <w:proofErr w:type="gramEnd"/>
    </w:p>
    <w:p w:rsidR="006A3868" w:rsidRDefault="006A3868" w:rsidP="006A3868">
      <w:pPr>
        <w:pStyle w:val="Beschriftung"/>
      </w:pPr>
      <w:r>
        <w:t>Answer 32</w:t>
      </w:r>
    </w:p>
    <w:p w:rsidR="00765431" w:rsidRPr="00E100D2" w:rsidRDefault="00765431" w:rsidP="00765431">
      <w:r>
        <w:t xml:space="preserve">From our </w:t>
      </w:r>
      <w:r w:rsidR="00157464">
        <w:t xml:space="preserve">point of </w:t>
      </w:r>
      <w:r>
        <w:t>view a phase-in period would no</w:t>
      </w:r>
      <w:r w:rsidRPr="00E100D2">
        <w:t>t</w:t>
      </w:r>
      <w:r>
        <w:t xml:space="preserve"> change abovementioned fundamental problems</w:t>
      </w:r>
      <w:r w:rsidRPr="00E100D2">
        <w:t>. </w:t>
      </w:r>
    </w:p>
    <w:p w:rsidR="006A3868" w:rsidRPr="00393DA5" w:rsidRDefault="006A3868" w:rsidP="00393DA5"/>
    <w:p w:rsidR="00865E0F" w:rsidRDefault="008E441A" w:rsidP="008E441A">
      <w:pPr>
        <w:pStyle w:val="berschrift2"/>
        <w:numPr>
          <w:ilvl w:val="0"/>
          <w:numId w:val="0"/>
        </w:numPr>
        <w:ind w:left="1425"/>
      </w:pPr>
      <w:bookmarkStart w:id="30" w:name="_Toc359335104"/>
      <w:r>
        <w:t xml:space="preserve">5.2. </w:t>
      </w:r>
      <w:r w:rsidR="00865E0F" w:rsidRPr="00865E0F">
        <w:t>Foreign exchange OTC derivatives</w:t>
      </w:r>
      <w:bookmarkEnd w:id="30"/>
    </w:p>
    <w:p w:rsidR="004740A5" w:rsidRPr="004740A5" w:rsidRDefault="004740A5" w:rsidP="004740A5">
      <w:pPr>
        <w:pStyle w:val="Beschriftung"/>
      </w:pPr>
      <w:r>
        <w:t>Comments on paragraph</w:t>
      </w:r>
      <w:r w:rsidR="004C273E">
        <w:t>s</w:t>
      </w:r>
      <w:r w:rsidR="00B235DB">
        <w:t xml:space="preserve"> 139 to 140</w:t>
      </w:r>
      <w:r>
        <w:t>:</w:t>
      </w:r>
    </w:p>
    <w:p w:rsidR="00157464" w:rsidRDefault="00157464" w:rsidP="00157464">
      <w:pPr>
        <w:rPr>
          <w:lang w:eastAsia="de-DE"/>
        </w:rPr>
      </w:pPr>
      <w:r w:rsidRPr="00DE494E">
        <w:rPr>
          <w:lang w:eastAsia="de-DE"/>
        </w:rPr>
        <w:t xml:space="preserve">We have no </w:t>
      </w:r>
      <w:r>
        <w:rPr>
          <w:lang w:eastAsia="de-DE"/>
        </w:rPr>
        <w:t xml:space="preserve">additional </w:t>
      </w:r>
      <w:r w:rsidRPr="00DE494E">
        <w:rPr>
          <w:lang w:eastAsia="de-DE"/>
        </w:rPr>
        <w:t xml:space="preserve">comments as regards paragraphs </w:t>
      </w:r>
      <w:r>
        <w:rPr>
          <w:lang w:eastAsia="de-DE"/>
        </w:rPr>
        <w:t>13</w:t>
      </w:r>
      <w:r w:rsidR="00751C0E">
        <w:rPr>
          <w:lang w:eastAsia="de-DE"/>
        </w:rPr>
        <w:t>9</w:t>
      </w:r>
      <w:r w:rsidRPr="00DE494E">
        <w:rPr>
          <w:lang w:eastAsia="de-DE"/>
        </w:rPr>
        <w:t xml:space="preserve"> to </w:t>
      </w:r>
      <w:r>
        <w:rPr>
          <w:lang w:eastAsia="de-DE"/>
        </w:rPr>
        <w:t>1</w:t>
      </w:r>
      <w:r w:rsidR="00751C0E">
        <w:rPr>
          <w:lang w:eastAsia="de-DE"/>
        </w:rPr>
        <w:t>40</w:t>
      </w:r>
      <w:r w:rsidRPr="00DE494E">
        <w:rPr>
          <w:lang w:eastAsia="de-DE"/>
        </w:rPr>
        <w:t>.</w:t>
      </w:r>
    </w:p>
    <w:p w:rsidR="004740A5" w:rsidRPr="004740A5" w:rsidRDefault="004740A5" w:rsidP="004740A5">
      <w:pPr>
        <w:rPr>
          <w:lang w:eastAsia="de-DE"/>
        </w:rPr>
      </w:pPr>
    </w:p>
    <w:p w:rsidR="00741028" w:rsidRPr="00741028" w:rsidRDefault="00B235DB" w:rsidP="00B929D6">
      <w:pPr>
        <w:pStyle w:val="Bold"/>
      </w:pPr>
      <w:r>
        <w:t>Question 33</w:t>
      </w:r>
      <w:r w:rsidR="00741028" w:rsidRPr="00741028">
        <w:t xml:space="preserve"> (FX derivatives): </w:t>
      </w:r>
    </w:p>
    <w:p w:rsidR="00741028" w:rsidRDefault="00561C14" w:rsidP="00D54F70">
      <w:r w:rsidRPr="00561C14">
        <w:t>Within the foreign exchange asset class, for which type of contracts do you consider that settlement risk is the predominant risk, and what criteria or characteristics should be used by ESMA to identify those contracts?</w:t>
      </w:r>
      <w:r w:rsidR="00741028" w:rsidRPr="00741028">
        <w:tab/>
      </w:r>
    </w:p>
    <w:p w:rsidR="00393DA5" w:rsidRDefault="00393DA5" w:rsidP="00B929D6">
      <w:pPr>
        <w:pStyle w:val="Beschriftung"/>
      </w:pPr>
      <w:r>
        <w:t xml:space="preserve">Answer </w:t>
      </w:r>
      <w:r w:rsidR="00B235DB">
        <w:t>33</w:t>
      </w:r>
      <w:r w:rsidR="000B7E3A">
        <w:t>:</w:t>
      </w:r>
    </w:p>
    <w:p w:rsidR="00765431" w:rsidRPr="009D3833" w:rsidRDefault="00765431" w:rsidP="00765431">
      <w:pPr>
        <w:rPr>
          <w:b/>
        </w:rPr>
      </w:pPr>
      <w:r w:rsidRPr="009D3833">
        <w:t>-/-</w:t>
      </w:r>
    </w:p>
    <w:p w:rsidR="00393DA5" w:rsidRPr="00393DA5" w:rsidRDefault="00393DA5" w:rsidP="005F1A98"/>
    <w:p w:rsidR="00865E0F" w:rsidRDefault="008E441A" w:rsidP="008E441A">
      <w:pPr>
        <w:pStyle w:val="berschrift2"/>
        <w:numPr>
          <w:ilvl w:val="0"/>
          <w:numId w:val="0"/>
        </w:numPr>
        <w:ind w:left="1425"/>
      </w:pPr>
      <w:bookmarkStart w:id="31" w:name="_Toc359335105"/>
      <w:r>
        <w:t xml:space="preserve">5.3. </w:t>
      </w:r>
      <w:r w:rsidR="00865E0F" w:rsidRPr="00865E0F">
        <w:t>Interaction of portfolio compression and the clearing obligation</w:t>
      </w:r>
      <w:bookmarkEnd w:id="31"/>
    </w:p>
    <w:p w:rsidR="004740A5" w:rsidRPr="00962CA6" w:rsidRDefault="00B235DB" w:rsidP="004740A5">
      <w:pPr>
        <w:pStyle w:val="Beschriftung"/>
        <w:rPr>
          <w:lang w:val="fr-FR"/>
        </w:rPr>
      </w:pPr>
      <w:proofErr w:type="spellStart"/>
      <w:r w:rsidRPr="00962CA6">
        <w:rPr>
          <w:lang w:val="fr-FR"/>
        </w:rPr>
        <w:t>Comments</w:t>
      </w:r>
      <w:proofErr w:type="spellEnd"/>
      <w:r w:rsidRPr="00962CA6">
        <w:rPr>
          <w:lang w:val="fr-FR"/>
        </w:rPr>
        <w:t xml:space="preserve"> on </w:t>
      </w:r>
      <w:proofErr w:type="spellStart"/>
      <w:r w:rsidRPr="00962CA6">
        <w:rPr>
          <w:lang w:val="fr-FR"/>
        </w:rPr>
        <w:t>paragraph</w:t>
      </w:r>
      <w:proofErr w:type="spellEnd"/>
      <w:r w:rsidRPr="00962CA6">
        <w:rPr>
          <w:lang w:val="fr-FR"/>
        </w:rPr>
        <w:t xml:space="preserve"> 141</w:t>
      </w:r>
      <w:r w:rsidR="004740A5" w:rsidRPr="00962CA6">
        <w:rPr>
          <w:lang w:val="fr-FR"/>
        </w:rPr>
        <w:t>:</w:t>
      </w:r>
    </w:p>
    <w:p w:rsidR="00751C0E" w:rsidRDefault="00751C0E" w:rsidP="00751C0E">
      <w:pPr>
        <w:rPr>
          <w:lang w:eastAsia="de-DE"/>
        </w:rPr>
      </w:pPr>
      <w:r w:rsidRPr="00DE494E">
        <w:rPr>
          <w:lang w:eastAsia="de-DE"/>
        </w:rPr>
        <w:t xml:space="preserve">We have no </w:t>
      </w:r>
      <w:r>
        <w:rPr>
          <w:lang w:eastAsia="de-DE"/>
        </w:rPr>
        <w:t xml:space="preserve">additional </w:t>
      </w:r>
      <w:r w:rsidRPr="00DE494E">
        <w:rPr>
          <w:lang w:eastAsia="de-DE"/>
        </w:rPr>
        <w:t xml:space="preserve">comments as regards paragraphs </w:t>
      </w:r>
      <w:r>
        <w:rPr>
          <w:lang w:eastAsia="de-DE"/>
        </w:rPr>
        <w:t>141</w:t>
      </w:r>
      <w:r w:rsidRPr="00DE494E">
        <w:rPr>
          <w:lang w:eastAsia="de-DE"/>
        </w:rPr>
        <w:t>.</w:t>
      </w:r>
    </w:p>
    <w:p w:rsidR="004D343D" w:rsidRPr="00751C0E" w:rsidRDefault="004D343D" w:rsidP="005F1A98">
      <w:pPr>
        <w:rPr>
          <w:lang w:eastAsia="de-DE"/>
        </w:rPr>
      </w:pPr>
    </w:p>
    <w:p w:rsidR="00865E0F" w:rsidRPr="00962CA6" w:rsidRDefault="00865E0F" w:rsidP="00B929D6">
      <w:pPr>
        <w:pStyle w:val="Bold"/>
        <w:rPr>
          <w:lang w:val="fr-FR"/>
        </w:rPr>
      </w:pPr>
      <w:r w:rsidRPr="00962CA6">
        <w:rPr>
          <w:lang w:val="fr-FR"/>
        </w:rPr>
        <w:t xml:space="preserve">Question </w:t>
      </w:r>
      <w:r w:rsidR="00B235DB" w:rsidRPr="00962CA6">
        <w:rPr>
          <w:lang w:val="fr-FR"/>
        </w:rPr>
        <w:t>34</w:t>
      </w:r>
      <w:r w:rsidRPr="00962CA6">
        <w:rPr>
          <w:lang w:val="fr-FR"/>
        </w:rPr>
        <w:t xml:space="preserve"> (Portfolio compression): </w:t>
      </w:r>
    </w:p>
    <w:p w:rsidR="00561C14" w:rsidRDefault="00561C14" w:rsidP="00B929D6">
      <w:pPr>
        <w:pStyle w:val="Beschriftung"/>
        <w:rPr>
          <w:b w:val="0"/>
          <w:bCs w:val="0"/>
          <w:color w:val="auto"/>
          <w:szCs w:val="20"/>
        </w:rPr>
      </w:pPr>
      <w:bookmarkStart w:id="32" w:name="_Ref357587812"/>
      <w:bookmarkStart w:id="33" w:name="_Toc357780208"/>
      <w:bookmarkStart w:id="34" w:name="_Toc359335106"/>
      <w:r w:rsidRPr="00561C14">
        <w:rPr>
          <w:b w:val="0"/>
          <w:bCs w:val="0"/>
          <w:color w:val="auto"/>
          <w:szCs w:val="20"/>
        </w:rPr>
        <w:t>Are there ways in which the imposition of the clearing obligation in the EU could hamper the effectiveness of compression services? If so, please provide evidence of the potential impact. Are there ways in which exclusions to the clearing obligation could be defined which alleviate the problem without creating opportunities for avoidance?</w:t>
      </w:r>
    </w:p>
    <w:p w:rsidR="00393DA5" w:rsidRDefault="00393DA5" w:rsidP="00B929D6">
      <w:pPr>
        <w:pStyle w:val="Beschriftung"/>
      </w:pPr>
      <w:r>
        <w:t xml:space="preserve">Answer </w:t>
      </w:r>
      <w:r w:rsidR="00961902">
        <w:t>3</w:t>
      </w:r>
      <w:r w:rsidR="00B235DB">
        <w:t>4</w:t>
      </w:r>
      <w:r w:rsidR="000B7E3A">
        <w:t>:</w:t>
      </w:r>
    </w:p>
    <w:p w:rsidR="00765431" w:rsidRPr="009D3833" w:rsidRDefault="00765431" w:rsidP="00765431">
      <w:pPr>
        <w:rPr>
          <w:b/>
        </w:rPr>
      </w:pPr>
      <w:r w:rsidRPr="009D3833">
        <w:t>-/-</w:t>
      </w:r>
    </w:p>
    <w:p w:rsidR="00393DA5" w:rsidRPr="00393DA5" w:rsidRDefault="00393DA5" w:rsidP="00393DA5"/>
    <w:p w:rsidR="00865E0F" w:rsidRPr="00D54F70" w:rsidRDefault="008E441A" w:rsidP="008E441A">
      <w:pPr>
        <w:pStyle w:val="berschrift2"/>
        <w:numPr>
          <w:ilvl w:val="0"/>
          <w:numId w:val="0"/>
        </w:numPr>
        <w:ind w:left="1425"/>
      </w:pPr>
      <w:r>
        <w:t xml:space="preserve">5.4. </w:t>
      </w:r>
      <w:r w:rsidR="00865E0F" w:rsidRPr="00D54F70">
        <w:t>How to withdraw a clearing obligation on a class or subset of it?</w:t>
      </w:r>
      <w:bookmarkEnd w:id="32"/>
      <w:bookmarkEnd w:id="33"/>
      <w:bookmarkEnd w:id="34"/>
    </w:p>
    <w:p w:rsidR="004740A5" w:rsidRPr="004740A5" w:rsidRDefault="004740A5" w:rsidP="004740A5">
      <w:pPr>
        <w:pStyle w:val="Beschriftung"/>
      </w:pPr>
      <w:r>
        <w:t>Comments on paragraph</w:t>
      </w:r>
      <w:r w:rsidR="004C273E">
        <w:t>s</w:t>
      </w:r>
      <w:r w:rsidR="00B235DB">
        <w:t xml:space="preserve"> 142 to 148</w:t>
      </w:r>
      <w:r>
        <w:t>:</w:t>
      </w:r>
    </w:p>
    <w:p w:rsidR="00751C0E" w:rsidRDefault="00751C0E" w:rsidP="00751C0E">
      <w:pPr>
        <w:rPr>
          <w:lang w:eastAsia="de-DE"/>
        </w:rPr>
      </w:pPr>
      <w:r w:rsidRPr="00DE494E">
        <w:rPr>
          <w:lang w:eastAsia="de-DE"/>
        </w:rPr>
        <w:t xml:space="preserve">We have no </w:t>
      </w:r>
      <w:r>
        <w:rPr>
          <w:lang w:eastAsia="de-DE"/>
        </w:rPr>
        <w:t xml:space="preserve">additional </w:t>
      </w:r>
      <w:r w:rsidRPr="00DE494E">
        <w:rPr>
          <w:lang w:eastAsia="de-DE"/>
        </w:rPr>
        <w:t xml:space="preserve">comments as regards paragraphs </w:t>
      </w:r>
      <w:r>
        <w:rPr>
          <w:lang w:eastAsia="de-DE"/>
        </w:rPr>
        <w:t>142</w:t>
      </w:r>
      <w:r w:rsidRPr="00DE494E">
        <w:rPr>
          <w:lang w:eastAsia="de-DE"/>
        </w:rPr>
        <w:t xml:space="preserve"> to </w:t>
      </w:r>
      <w:r>
        <w:rPr>
          <w:lang w:eastAsia="de-DE"/>
        </w:rPr>
        <w:t>148</w:t>
      </w:r>
      <w:r w:rsidRPr="00DE494E">
        <w:rPr>
          <w:lang w:eastAsia="de-DE"/>
        </w:rPr>
        <w:t>.</w:t>
      </w:r>
    </w:p>
    <w:p w:rsidR="004740A5" w:rsidRDefault="004740A5" w:rsidP="005F1A98"/>
    <w:p w:rsidR="00741028" w:rsidRPr="00741028" w:rsidRDefault="00B235DB" w:rsidP="00B929D6">
      <w:pPr>
        <w:pStyle w:val="Bold"/>
      </w:pPr>
      <w:r>
        <w:t>Question 35</w:t>
      </w:r>
      <w:r w:rsidR="00741028" w:rsidRPr="00741028">
        <w:t xml:space="preserve"> (Modification of a Class+): </w:t>
      </w:r>
    </w:p>
    <w:p w:rsidR="00561C14" w:rsidRDefault="00561C14" w:rsidP="00B929D6">
      <w:pPr>
        <w:pStyle w:val="Beschriftung"/>
        <w:rPr>
          <w:b w:val="0"/>
          <w:bCs w:val="0"/>
          <w:color w:val="auto"/>
          <w:szCs w:val="20"/>
        </w:rPr>
      </w:pPr>
      <w:r w:rsidRPr="00561C14">
        <w:rPr>
          <w:b w:val="0"/>
          <w:bCs w:val="0"/>
          <w:color w:val="auto"/>
          <w:szCs w:val="20"/>
        </w:rPr>
        <w:t>For which reason (other than the fact that a CCP does not clear it any longer) do you believe that the clearing obligation of a class - or subset of it - would need to be removed? Please focus on the risks which could stem from a clearing obligation on contracts which would no longer be appropriate for mandatory clearing and provide concrete examples.</w:t>
      </w:r>
    </w:p>
    <w:p w:rsidR="00393DA5" w:rsidRDefault="00393DA5" w:rsidP="00B929D6">
      <w:pPr>
        <w:pStyle w:val="Beschriftung"/>
      </w:pPr>
      <w:r>
        <w:t xml:space="preserve">Answer </w:t>
      </w:r>
      <w:r w:rsidR="00B235DB">
        <w:t>35</w:t>
      </w:r>
      <w:r w:rsidR="000B7E3A">
        <w:t>:</w:t>
      </w:r>
    </w:p>
    <w:p w:rsidR="00765431" w:rsidRPr="009D3833" w:rsidRDefault="00765431" w:rsidP="00765431">
      <w:pPr>
        <w:rPr>
          <w:b/>
        </w:rPr>
      </w:pPr>
      <w:r w:rsidRPr="009D3833">
        <w:t>-/-</w:t>
      </w:r>
    </w:p>
    <w:p w:rsidR="005F1A98" w:rsidRPr="005F1A98" w:rsidRDefault="005F1A98" w:rsidP="005F1A98"/>
    <w:p w:rsidR="00741028" w:rsidRPr="00741028" w:rsidRDefault="00B235DB" w:rsidP="00B929D6">
      <w:pPr>
        <w:pStyle w:val="Bold"/>
      </w:pPr>
      <w:r>
        <w:t>Question 36</w:t>
      </w:r>
      <w:r w:rsidR="00741028" w:rsidRPr="00741028">
        <w:t xml:space="preserve"> (Modification of a Class+): </w:t>
      </w:r>
    </w:p>
    <w:p w:rsidR="00741028" w:rsidRDefault="00561C14" w:rsidP="00D54F70">
      <w:r w:rsidRPr="00561C14">
        <w:t>In case a clearing obligation would need to be reviewed, how crucial would be the time needed to dis-apply the clearing obligation?</w:t>
      </w:r>
      <w:r w:rsidR="00741028" w:rsidRPr="00741028">
        <w:tab/>
      </w:r>
    </w:p>
    <w:p w:rsidR="00393DA5" w:rsidRDefault="00393DA5" w:rsidP="00B929D6">
      <w:pPr>
        <w:pStyle w:val="Beschriftung"/>
      </w:pPr>
      <w:r>
        <w:t xml:space="preserve">Answer </w:t>
      </w:r>
      <w:r w:rsidR="00B235DB">
        <w:t>36</w:t>
      </w:r>
      <w:r w:rsidR="000B7E3A">
        <w:t>:</w:t>
      </w:r>
    </w:p>
    <w:p w:rsidR="00765431" w:rsidRPr="009D3833" w:rsidRDefault="00765431" w:rsidP="00765431">
      <w:pPr>
        <w:rPr>
          <w:b/>
        </w:rPr>
      </w:pPr>
      <w:r w:rsidRPr="009D3833">
        <w:t>-/-</w:t>
      </w:r>
    </w:p>
    <w:p w:rsidR="00765431" w:rsidRPr="00765431" w:rsidRDefault="00765431" w:rsidP="00765431"/>
    <w:sectPr w:rsidR="00765431" w:rsidRPr="00765431" w:rsidSect="004E3315">
      <w:footerReference w:type="default" r:id="rId9"/>
      <w:headerReference w:type="first" r:id="rId10"/>
      <w:footerReference w:type="first" r:id="rId11"/>
      <w:pgSz w:w="11906" w:h="16838" w:code="9"/>
      <w:pgMar w:top="1525"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43D" w:rsidRDefault="004D343D" w:rsidP="004D343D">
      <w:pPr>
        <w:spacing w:after="0" w:line="240" w:lineRule="auto"/>
      </w:pPr>
      <w:r>
        <w:separator/>
      </w:r>
    </w:p>
  </w:endnote>
  <w:endnote w:type="continuationSeparator" w:id="0">
    <w:p w:rsidR="004D343D" w:rsidRDefault="004D343D" w:rsidP="004D3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165314"/>
      <w:docPartObj>
        <w:docPartGallery w:val="Page Numbers (Bottom of Page)"/>
        <w:docPartUnique/>
      </w:docPartObj>
    </w:sdtPr>
    <w:sdtEndPr>
      <w:rPr>
        <w:noProof/>
      </w:rPr>
    </w:sdtEndPr>
    <w:sdtContent>
      <w:p w:rsidR="004D343D" w:rsidRDefault="004D343D">
        <w:pPr>
          <w:pStyle w:val="Fuzeile"/>
          <w:jc w:val="right"/>
        </w:pPr>
        <w:r>
          <w:fldChar w:fldCharType="begin"/>
        </w:r>
        <w:r>
          <w:instrText xml:space="preserve"> PAGE   \* MERGEFORMAT </w:instrText>
        </w:r>
        <w:r>
          <w:fldChar w:fldCharType="separate"/>
        </w:r>
        <w:r w:rsidR="00965C0C">
          <w:rPr>
            <w:noProof/>
          </w:rPr>
          <w:t>12</w:t>
        </w:r>
        <w:r>
          <w:rPr>
            <w:noProof/>
          </w:rPr>
          <w:fldChar w:fldCharType="end"/>
        </w:r>
      </w:p>
    </w:sdtContent>
  </w:sdt>
  <w:p w:rsidR="004D343D" w:rsidRDefault="004D343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05406"/>
      <w:docPartObj>
        <w:docPartGallery w:val="Page Numbers (Bottom of Page)"/>
        <w:docPartUnique/>
      </w:docPartObj>
    </w:sdtPr>
    <w:sdtEndPr>
      <w:rPr>
        <w:noProof/>
      </w:rPr>
    </w:sdtEndPr>
    <w:sdtContent>
      <w:p w:rsidR="004E3315" w:rsidRDefault="00B64097">
        <w:pPr>
          <w:pStyle w:val="Fuzeile"/>
          <w:jc w:val="right"/>
        </w:pPr>
        <w:r>
          <w:t>12 July 2013</w:t>
        </w:r>
        <w:r w:rsidR="004E3315">
          <w:t xml:space="preserve"> </w:t>
        </w:r>
        <w:r w:rsidR="004E3315" w:rsidRPr="00852DEE">
          <w:t>|</w:t>
        </w:r>
        <w:r w:rsidR="0025726B">
          <w:t xml:space="preserve"> ESMA/2013/926</w:t>
        </w:r>
      </w:p>
    </w:sdtContent>
  </w:sdt>
  <w:p w:rsidR="004E3315" w:rsidRDefault="004E331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43D" w:rsidRDefault="004D343D" w:rsidP="004D343D">
      <w:pPr>
        <w:spacing w:after="0" w:line="240" w:lineRule="auto"/>
      </w:pPr>
      <w:r>
        <w:separator/>
      </w:r>
    </w:p>
  </w:footnote>
  <w:footnote w:type="continuationSeparator" w:id="0">
    <w:p w:rsidR="004D343D" w:rsidRDefault="004D343D" w:rsidP="004D34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DBA" w:rsidRDefault="003D1DBA">
    <w:pPr>
      <w:pStyle w:val="Kopfzeile"/>
    </w:pPr>
    <w:r>
      <w:rPr>
        <w:noProof/>
        <w:lang w:val="de-DE" w:eastAsia="de-DE"/>
      </w:rPr>
      <w:drawing>
        <wp:anchor distT="0" distB="0" distL="114300" distR="114300" simplePos="0" relativeHeight="251659264" behindDoc="0" locked="0" layoutInCell="1" allowOverlap="1" wp14:anchorId="1DE9E421" wp14:editId="30E179EA">
          <wp:simplePos x="0" y="0"/>
          <wp:positionH relativeFrom="page">
            <wp:posOffset>944245</wp:posOffset>
          </wp:positionH>
          <wp:positionV relativeFrom="page">
            <wp:posOffset>764540</wp:posOffset>
          </wp:positionV>
          <wp:extent cx="561975" cy="561975"/>
          <wp:effectExtent l="0" t="0" r="9525" b="9525"/>
          <wp:wrapNone/>
          <wp:docPr id="1" name="Picture 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90EB4"/>
    <w:multiLevelType w:val="hybridMultilevel"/>
    <w:tmpl w:val="D00E6092"/>
    <w:lvl w:ilvl="0" w:tplc="565C7802">
      <w:start w:val="1"/>
      <w:numFmt w:val="upperRoman"/>
      <w:pStyle w:val="05dHeadline1lin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5F2725FB"/>
    <w:multiLevelType w:val="multilevel"/>
    <w:tmpl w:val="A0602AAE"/>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1425" w:hanging="432"/>
      </w:pPr>
      <w:rPr>
        <w:rFonts w:hint="default"/>
      </w:rPr>
    </w:lvl>
    <w:lvl w:ilvl="2">
      <w:start w:val="1"/>
      <w:numFmt w:val="decimal"/>
      <w:pStyle w:val="berschrift3"/>
      <w:lvlText w:val="%1.%2.%3."/>
      <w:lvlJc w:val="left"/>
      <w:pPr>
        <w:ind w:left="1224" w:hanging="504"/>
      </w:pPr>
      <w:rPr>
        <w:rFonts w:hint="default"/>
      </w:rPr>
    </w:lvl>
    <w:lvl w:ilvl="3">
      <w:start w:val="1"/>
      <w:numFmt w:val="decimal"/>
      <w:pStyle w:val="berschrift4"/>
      <w:lvlText w:val="%1.%2.%3.%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5CD27AE"/>
    <w:multiLevelType w:val="hybridMultilevel"/>
    <w:tmpl w:val="4E1A8C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887209E"/>
    <w:multiLevelType w:val="hybridMultilevel"/>
    <w:tmpl w:val="28A6E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028"/>
    <w:rsid w:val="00001C84"/>
    <w:rsid w:val="00086D68"/>
    <w:rsid w:val="000A0AD9"/>
    <w:rsid w:val="000B7E3A"/>
    <w:rsid w:val="000C43FA"/>
    <w:rsid w:val="000D2A3B"/>
    <w:rsid w:val="00127981"/>
    <w:rsid w:val="001567D7"/>
    <w:rsid w:val="00157464"/>
    <w:rsid w:val="001747CB"/>
    <w:rsid w:val="00190510"/>
    <w:rsid w:val="0024278C"/>
    <w:rsid w:val="0025726B"/>
    <w:rsid w:val="00297FED"/>
    <w:rsid w:val="00326C9D"/>
    <w:rsid w:val="003457EE"/>
    <w:rsid w:val="0037122C"/>
    <w:rsid w:val="00374AD6"/>
    <w:rsid w:val="00393DA5"/>
    <w:rsid w:val="003D1DBA"/>
    <w:rsid w:val="003E3188"/>
    <w:rsid w:val="004513CD"/>
    <w:rsid w:val="004740A5"/>
    <w:rsid w:val="004A110C"/>
    <w:rsid w:val="004B7C63"/>
    <w:rsid w:val="004C273E"/>
    <w:rsid w:val="004D343D"/>
    <w:rsid w:val="004E3315"/>
    <w:rsid w:val="00556B75"/>
    <w:rsid w:val="00561C14"/>
    <w:rsid w:val="00590BC4"/>
    <w:rsid w:val="005C7ACF"/>
    <w:rsid w:val="005E0564"/>
    <w:rsid w:val="005F1A98"/>
    <w:rsid w:val="00602D18"/>
    <w:rsid w:val="00642332"/>
    <w:rsid w:val="006574BB"/>
    <w:rsid w:val="006A3868"/>
    <w:rsid w:val="006B0139"/>
    <w:rsid w:val="00723FB6"/>
    <w:rsid w:val="00730532"/>
    <w:rsid w:val="00734F6B"/>
    <w:rsid w:val="00741028"/>
    <w:rsid w:val="00751C0E"/>
    <w:rsid w:val="00765431"/>
    <w:rsid w:val="007F578D"/>
    <w:rsid w:val="008325D1"/>
    <w:rsid w:val="00857689"/>
    <w:rsid w:val="00865E0F"/>
    <w:rsid w:val="008D7543"/>
    <w:rsid w:val="008E441A"/>
    <w:rsid w:val="008E55FB"/>
    <w:rsid w:val="0090640F"/>
    <w:rsid w:val="00961902"/>
    <w:rsid w:val="00962CA6"/>
    <w:rsid w:val="00965C0C"/>
    <w:rsid w:val="009B4AF6"/>
    <w:rsid w:val="00A16733"/>
    <w:rsid w:val="00A40266"/>
    <w:rsid w:val="00A66DC0"/>
    <w:rsid w:val="00AA4487"/>
    <w:rsid w:val="00AB1DF4"/>
    <w:rsid w:val="00AF688B"/>
    <w:rsid w:val="00B235DB"/>
    <w:rsid w:val="00B64097"/>
    <w:rsid w:val="00B929D6"/>
    <w:rsid w:val="00BC6028"/>
    <w:rsid w:val="00BE1539"/>
    <w:rsid w:val="00C06F83"/>
    <w:rsid w:val="00C2137E"/>
    <w:rsid w:val="00C23FBB"/>
    <w:rsid w:val="00C30D29"/>
    <w:rsid w:val="00C919B2"/>
    <w:rsid w:val="00CB0433"/>
    <w:rsid w:val="00CB7264"/>
    <w:rsid w:val="00CF4064"/>
    <w:rsid w:val="00D077AD"/>
    <w:rsid w:val="00D258EA"/>
    <w:rsid w:val="00D50359"/>
    <w:rsid w:val="00D54F70"/>
    <w:rsid w:val="00D65AED"/>
    <w:rsid w:val="00D85697"/>
    <w:rsid w:val="00D91577"/>
    <w:rsid w:val="00DC4603"/>
    <w:rsid w:val="00DE494E"/>
    <w:rsid w:val="00E047EA"/>
    <w:rsid w:val="00E80FEF"/>
    <w:rsid w:val="00EE0F78"/>
    <w:rsid w:val="00F24B78"/>
    <w:rsid w:val="00F46DE7"/>
    <w:rsid w:val="00FB4B09"/>
    <w:rsid w:val="00FD2FB2"/>
    <w:rsid w:val="00FE5D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97FED"/>
    <w:pPr>
      <w:jc w:val="both"/>
    </w:pPr>
    <w:rPr>
      <w:rFonts w:ascii="Georgia" w:hAnsi="Georgia"/>
      <w:sz w:val="18"/>
      <w:szCs w:val="20"/>
      <w:lang w:val="en-GB"/>
    </w:rPr>
  </w:style>
  <w:style w:type="paragraph" w:styleId="berschrift1">
    <w:name w:val="heading 1"/>
    <w:basedOn w:val="Standard"/>
    <w:next w:val="Standard"/>
    <w:link w:val="berschrift1Zchn"/>
    <w:qFormat/>
    <w:rsid w:val="000A0AD9"/>
    <w:pPr>
      <w:numPr>
        <w:numId w:val="1"/>
      </w:numPr>
      <w:spacing w:after="0" w:line="340" w:lineRule="exact"/>
      <w:outlineLvl w:val="0"/>
    </w:pPr>
    <w:rPr>
      <w:rFonts w:eastAsia="Times New Roman" w:cs="Times New Roman"/>
      <w:b/>
      <w:color w:val="0070C0"/>
      <w:szCs w:val="24"/>
      <w:lang w:eastAsia="de-DE"/>
    </w:rPr>
  </w:style>
  <w:style w:type="paragraph" w:styleId="berschrift2">
    <w:name w:val="heading 2"/>
    <w:basedOn w:val="berschrift1"/>
    <w:next w:val="Standard"/>
    <w:link w:val="berschrift2Zchn"/>
    <w:qFormat/>
    <w:rsid w:val="000A0AD9"/>
    <w:pPr>
      <w:numPr>
        <w:ilvl w:val="1"/>
      </w:numPr>
      <w:spacing w:before="360" w:after="360"/>
      <w:outlineLvl w:val="1"/>
    </w:pPr>
    <w:rPr>
      <w:szCs w:val="20"/>
    </w:rPr>
  </w:style>
  <w:style w:type="paragraph" w:styleId="berschrift3">
    <w:name w:val="heading 3"/>
    <w:basedOn w:val="berschrift2"/>
    <w:next w:val="Standard"/>
    <w:link w:val="berschrift3Zchn"/>
    <w:qFormat/>
    <w:rsid w:val="00723FB6"/>
    <w:pPr>
      <w:numPr>
        <w:ilvl w:val="2"/>
      </w:numPr>
      <w:outlineLvl w:val="2"/>
    </w:pPr>
  </w:style>
  <w:style w:type="paragraph" w:styleId="berschrift4">
    <w:name w:val="heading 4"/>
    <w:basedOn w:val="berschrift3"/>
    <w:next w:val="Standard"/>
    <w:link w:val="berschrift4Zchn"/>
    <w:qFormat/>
    <w:rsid w:val="00723FB6"/>
    <w:pPr>
      <w:numPr>
        <w:ilvl w:val="3"/>
      </w:numPr>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41028"/>
    <w:rPr>
      <w:color w:val="0000FF" w:themeColor="hyperlink"/>
      <w:u w:val="single"/>
    </w:rPr>
  </w:style>
  <w:style w:type="paragraph" w:customStyle="1" w:styleId="Bold">
    <w:name w:val="Bold"/>
    <w:basedOn w:val="Question"/>
    <w:link w:val="BoldChar"/>
    <w:qFormat/>
    <w:rsid w:val="00865E0F"/>
  </w:style>
  <w:style w:type="paragraph" w:customStyle="1" w:styleId="Question">
    <w:name w:val="Question"/>
    <w:basedOn w:val="Beschriftung"/>
    <w:link w:val="QuestionChar"/>
    <w:qFormat/>
    <w:rsid w:val="00723FB6"/>
    <w:pPr>
      <w:spacing w:after="240" w:line="276" w:lineRule="auto"/>
      <w:ind w:left="708"/>
    </w:pPr>
    <w:rPr>
      <w:rFonts w:eastAsia="Times New Roman" w:cs="Times New Roman"/>
      <w:color w:val="auto"/>
      <w:lang w:eastAsia="de-DE"/>
    </w:rPr>
  </w:style>
  <w:style w:type="character" w:customStyle="1" w:styleId="BoldChar">
    <w:name w:val="Bold Char"/>
    <w:basedOn w:val="Absatz-Standardschriftart"/>
    <w:link w:val="Bold"/>
    <w:rsid w:val="00865E0F"/>
    <w:rPr>
      <w:rFonts w:ascii="Georgia" w:eastAsia="Times New Roman" w:hAnsi="Georgia" w:cs="Times New Roman"/>
      <w:b/>
      <w:bCs/>
      <w:sz w:val="18"/>
      <w:szCs w:val="18"/>
      <w:lang w:val="en-GB" w:eastAsia="de-DE"/>
    </w:rPr>
  </w:style>
  <w:style w:type="character" w:customStyle="1" w:styleId="QuestionChar">
    <w:name w:val="Question Char"/>
    <w:link w:val="Question"/>
    <w:rsid w:val="00723FB6"/>
    <w:rPr>
      <w:rFonts w:ascii="Georgia" w:eastAsia="Times New Roman" w:hAnsi="Georgia" w:cs="Times New Roman"/>
      <w:b/>
      <w:bCs/>
      <w:sz w:val="18"/>
      <w:szCs w:val="18"/>
      <w:lang w:val="en-GB" w:eastAsia="de-DE"/>
    </w:rPr>
  </w:style>
  <w:style w:type="paragraph" w:styleId="Beschriftung">
    <w:name w:val="caption"/>
    <w:basedOn w:val="Standard"/>
    <w:next w:val="Standard"/>
    <w:uiPriority w:val="35"/>
    <w:unhideWhenUsed/>
    <w:qFormat/>
    <w:rsid w:val="00B929D6"/>
    <w:pPr>
      <w:spacing w:before="240" w:line="240" w:lineRule="auto"/>
    </w:pPr>
    <w:rPr>
      <w:b/>
      <w:bCs/>
      <w:color w:val="C00000"/>
      <w:szCs w:val="18"/>
    </w:rPr>
  </w:style>
  <w:style w:type="paragraph" w:customStyle="1" w:styleId="Normalsanspara">
    <w:name w:val="Normal sans para"/>
    <w:basedOn w:val="Standard"/>
    <w:link w:val="NormalsansparaChar"/>
    <w:qFormat/>
    <w:rsid w:val="00723FB6"/>
    <w:pPr>
      <w:spacing w:before="120" w:after="240"/>
    </w:pPr>
    <w:rPr>
      <w:rFonts w:eastAsia="Times New Roman" w:cs="Times New Roman"/>
      <w:szCs w:val="24"/>
      <w:u w:val="single"/>
      <w:lang w:eastAsia="de-DE"/>
    </w:rPr>
  </w:style>
  <w:style w:type="character" w:customStyle="1" w:styleId="NormalsansparaChar">
    <w:name w:val="Normal sans para Char"/>
    <w:link w:val="Normalsanspara"/>
    <w:rsid w:val="00723FB6"/>
    <w:rPr>
      <w:rFonts w:ascii="Georgia" w:eastAsia="Times New Roman" w:hAnsi="Georgia" w:cs="Times New Roman"/>
      <w:sz w:val="20"/>
      <w:szCs w:val="24"/>
      <w:u w:val="single"/>
      <w:lang w:val="en-GB" w:eastAsia="de-DE"/>
    </w:rPr>
  </w:style>
  <w:style w:type="character" w:customStyle="1" w:styleId="berschrift1Zchn">
    <w:name w:val="Überschrift 1 Zchn"/>
    <w:basedOn w:val="Absatz-Standardschriftart"/>
    <w:link w:val="berschrift1"/>
    <w:rsid w:val="000A0AD9"/>
    <w:rPr>
      <w:rFonts w:ascii="Georgia" w:eastAsia="Times New Roman" w:hAnsi="Georgia" w:cs="Times New Roman"/>
      <w:b/>
      <w:color w:val="0070C0"/>
      <w:sz w:val="18"/>
      <w:szCs w:val="24"/>
      <w:lang w:val="en-GB" w:eastAsia="de-DE"/>
    </w:rPr>
  </w:style>
  <w:style w:type="character" w:customStyle="1" w:styleId="berschrift2Zchn">
    <w:name w:val="Überschrift 2 Zchn"/>
    <w:basedOn w:val="Absatz-Standardschriftart"/>
    <w:link w:val="berschrift2"/>
    <w:rsid w:val="000A0AD9"/>
    <w:rPr>
      <w:rFonts w:ascii="Georgia" w:eastAsia="Times New Roman" w:hAnsi="Georgia" w:cs="Times New Roman"/>
      <w:b/>
      <w:color w:val="0070C0"/>
      <w:sz w:val="18"/>
      <w:szCs w:val="20"/>
      <w:lang w:val="en-GB" w:eastAsia="de-DE"/>
    </w:rPr>
  </w:style>
  <w:style w:type="character" w:customStyle="1" w:styleId="berschrift3Zchn">
    <w:name w:val="Überschrift 3 Zchn"/>
    <w:basedOn w:val="Absatz-Standardschriftart"/>
    <w:link w:val="berschrift3"/>
    <w:rsid w:val="00723FB6"/>
    <w:rPr>
      <w:rFonts w:ascii="Georgia" w:eastAsia="Times New Roman" w:hAnsi="Georgia" w:cs="Times New Roman"/>
      <w:b/>
      <w:color w:val="0070C0"/>
      <w:sz w:val="18"/>
      <w:szCs w:val="20"/>
      <w:lang w:val="en-GB" w:eastAsia="de-DE"/>
    </w:rPr>
  </w:style>
  <w:style w:type="character" w:customStyle="1" w:styleId="berschrift4Zchn">
    <w:name w:val="Überschrift 4 Zchn"/>
    <w:basedOn w:val="Absatz-Standardschriftart"/>
    <w:link w:val="berschrift4"/>
    <w:rsid w:val="00723FB6"/>
    <w:rPr>
      <w:rFonts w:ascii="Georgia" w:eastAsia="Times New Roman" w:hAnsi="Georgia" w:cs="Times New Roman"/>
      <w:b/>
      <w:color w:val="0070C0"/>
      <w:sz w:val="18"/>
      <w:szCs w:val="20"/>
      <w:lang w:val="en-GB" w:eastAsia="de-DE"/>
    </w:rPr>
  </w:style>
  <w:style w:type="paragraph" w:customStyle="1" w:styleId="05dHeadline1line">
    <w:name w:val="05d_Headline 1 line"/>
    <w:basedOn w:val="Standard"/>
    <w:next w:val="Standard"/>
    <w:rsid w:val="00865E0F"/>
    <w:pPr>
      <w:keepNext/>
      <w:numPr>
        <w:numId w:val="2"/>
      </w:numPr>
      <w:pBdr>
        <w:top w:val="single" w:sz="4" w:space="10" w:color="000000"/>
      </w:pBdr>
      <w:tabs>
        <w:tab w:val="left" w:pos="284"/>
        <w:tab w:val="left" w:pos="397"/>
      </w:tabs>
      <w:spacing w:after="280" w:line="280" w:lineRule="exact"/>
    </w:pPr>
    <w:rPr>
      <w:rFonts w:eastAsia="Times New Roman" w:cs="Times New Roman"/>
      <w:b/>
      <w:color w:val="000000"/>
      <w:szCs w:val="24"/>
      <w:lang w:eastAsia="de-DE"/>
    </w:rPr>
  </w:style>
  <w:style w:type="paragraph" w:customStyle="1" w:styleId="Annex">
    <w:name w:val="Annex"/>
    <w:basedOn w:val="Standard"/>
    <w:link w:val="AnnexChar"/>
    <w:qFormat/>
    <w:rsid w:val="004D343D"/>
    <w:pPr>
      <w:spacing w:after="0" w:line="240" w:lineRule="auto"/>
      <w:jc w:val="left"/>
    </w:pPr>
    <w:rPr>
      <w:rFonts w:eastAsia="Times New Roman" w:cs="Times New Roman"/>
      <w:b/>
      <w:sz w:val="20"/>
      <w:lang w:eastAsia="de-DE"/>
    </w:rPr>
  </w:style>
  <w:style w:type="character" w:customStyle="1" w:styleId="AnnexChar">
    <w:name w:val="Annex Char"/>
    <w:link w:val="Annex"/>
    <w:rsid w:val="004D343D"/>
    <w:rPr>
      <w:rFonts w:ascii="Georgia" w:eastAsia="Times New Roman" w:hAnsi="Georgia" w:cs="Times New Roman"/>
      <w:b/>
      <w:sz w:val="20"/>
      <w:szCs w:val="20"/>
      <w:lang w:val="en-GB" w:eastAsia="de-DE"/>
    </w:rPr>
  </w:style>
  <w:style w:type="paragraph" w:customStyle="1" w:styleId="MyStyle">
    <w:name w:val="MyStyle"/>
    <w:basedOn w:val="Standard"/>
    <w:link w:val="MyStyleChar"/>
    <w:qFormat/>
    <w:rsid w:val="004D343D"/>
    <w:pPr>
      <w:pBdr>
        <w:bottom w:val="single" w:sz="4" w:space="1" w:color="17365D"/>
      </w:pBdr>
      <w:spacing w:after="0" w:line="240" w:lineRule="auto"/>
      <w:jc w:val="left"/>
    </w:pPr>
    <w:rPr>
      <w:rFonts w:eastAsia="Times New Roman" w:cs="Times New Roman"/>
      <w:b/>
      <w:sz w:val="22"/>
      <w:szCs w:val="24"/>
      <w:lang w:eastAsia="de-DE"/>
    </w:rPr>
  </w:style>
  <w:style w:type="character" w:customStyle="1" w:styleId="MyStyleChar">
    <w:name w:val="MyStyle Char"/>
    <w:link w:val="MyStyle"/>
    <w:rsid w:val="004D343D"/>
    <w:rPr>
      <w:rFonts w:ascii="Georgia" w:eastAsia="Times New Roman" w:hAnsi="Georgia" w:cs="Times New Roman"/>
      <w:b/>
      <w:szCs w:val="24"/>
      <w:lang w:val="en-GB" w:eastAsia="de-DE"/>
    </w:rPr>
  </w:style>
  <w:style w:type="paragraph" w:styleId="Kopfzeile">
    <w:name w:val="header"/>
    <w:basedOn w:val="Standard"/>
    <w:link w:val="KopfzeileZchn"/>
    <w:uiPriority w:val="99"/>
    <w:unhideWhenUsed/>
    <w:rsid w:val="004D34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343D"/>
    <w:rPr>
      <w:rFonts w:ascii="Georgia" w:hAnsi="Georgia"/>
      <w:sz w:val="18"/>
      <w:szCs w:val="20"/>
      <w:lang w:val="en-GB"/>
    </w:rPr>
  </w:style>
  <w:style w:type="paragraph" w:styleId="Fuzeile">
    <w:name w:val="footer"/>
    <w:basedOn w:val="Standard"/>
    <w:link w:val="FuzeileZchn"/>
    <w:uiPriority w:val="99"/>
    <w:unhideWhenUsed/>
    <w:rsid w:val="004D34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343D"/>
    <w:rPr>
      <w:rFonts w:ascii="Georgia" w:hAnsi="Georgia"/>
      <w:sz w:val="18"/>
      <w:szCs w:val="20"/>
      <w:lang w:val="en-GB"/>
    </w:rPr>
  </w:style>
  <w:style w:type="paragraph" w:styleId="Sprechblasentext">
    <w:name w:val="Balloon Text"/>
    <w:basedOn w:val="Standard"/>
    <w:link w:val="SprechblasentextZchn"/>
    <w:uiPriority w:val="99"/>
    <w:semiHidden/>
    <w:unhideWhenUsed/>
    <w:rsid w:val="004E331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E3315"/>
    <w:rPr>
      <w:rFonts w:ascii="Tahoma" w:hAnsi="Tahoma" w:cs="Tahoma"/>
      <w:sz w:val="16"/>
      <w:szCs w:val="16"/>
      <w:lang w:val="en-GB"/>
    </w:rPr>
  </w:style>
  <w:style w:type="paragraph" w:styleId="Listenabsatz">
    <w:name w:val="List Paragraph"/>
    <w:basedOn w:val="Standard"/>
    <w:uiPriority w:val="34"/>
    <w:qFormat/>
    <w:rsid w:val="00CB72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97FED"/>
    <w:pPr>
      <w:jc w:val="both"/>
    </w:pPr>
    <w:rPr>
      <w:rFonts w:ascii="Georgia" w:hAnsi="Georgia"/>
      <w:sz w:val="18"/>
      <w:szCs w:val="20"/>
      <w:lang w:val="en-GB"/>
    </w:rPr>
  </w:style>
  <w:style w:type="paragraph" w:styleId="berschrift1">
    <w:name w:val="heading 1"/>
    <w:basedOn w:val="Standard"/>
    <w:next w:val="Standard"/>
    <w:link w:val="berschrift1Zchn"/>
    <w:qFormat/>
    <w:rsid w:val="000A0AD9"/>
    <w:pPr>
      <w:numPr>
        <w:numId w:val="1"/>
      </w:numPr>
      <w:spacing w:after="0" w:line="340" w:lineRule="exact"/>
      <w:outlineLvl w:val="0"/>
    </w:pPr>
    <w:rPr>
      <w:rFonts w:eastAsia="Times New Roman" w:cs="Times New Roman"/>
      <w:b/>
      <w:color w:val="0070C0"/>
      <w:szCs w:val="24"/>
      <w:lang w:eastAsia="de-DE"/>
    </w:rPr>
  </w:style>
  <w:style w:type="paragraph" w:styleId="berschrift2">
    <w:name w:val="heading 2"/>
    <w:basedOn w:val="berschrift1"/>
    <w:next w:val="Standard"/>
    <w:link w:val="berschrift2Zchn"/>
    <w:qFormat/>
    <w:rsid w:val="000A0AD9"/>
    <w:pPr>
      <w:numPr>
        <w:ilvl w:val="1"/>
      </w:numPr>
      <w:spacing w:before="360" w:after="360"/>
      <w:outlineLvl w:val="1"/>
    </w:pPr>
    <w:rPr>
      <w:szCs w:val="20"/>
    </w:rPr>
  </w:style>
  <w:style w:type="paragraph" w:styleId="berschrift3">
    <w:name w:val="heading 3"/>
    <w:basedOn w:val="berschrift2"/>
    <w:next w:val="Standard"/>
    <w:link w:val="berschrift3Zchn"/>
    <w:qFormat/>
    <w:rsid w:val="00723FB6"/>
    <w:pPr>
      <w:numPr>
        <w:ilvl w:val="2"/>
      </w:numPr>
      <w:outlineLvl w:val="2"/>
    </w:pPr>
  </w:style>
  <w:style w:type="paragraph" w:styleId="berschrift4">
    <w:name w:val="heading 4"/>
    <w:basedOn w:val="berschrift3"/>
    <w:next w:val="Standard"/>
    <w:link w:val="berschrift4Zchn"/>
    <w:qFormat/>
    <w:rsid w:val="00723FB6"/>
    <w:pPr>
      <w:numPr>
        <w:ilvl w:val="3"/>
      </w:numPr>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41028"/>
    <w:rPr>
      <w:color w:val="0000FF" w:themeColor="hyperlink"/>
      <w:u w:val="single"/>
    </w:rPr>
  </w:style>
  <w:style w:type="paragraph" w:customStyle="1" w:styleId="Bold">
    <w:name w:val="Bold"/>
    <w:basedOn w:val="Question"/>
    <w:link w:val="BoldChar"/>
    <w:qFormat/>
    <w:rsid w:val="00865E0F"/>
  </w:style>
  <w:style w:type="paragraph" w:customStyle="1" w:styleId="Question">
    <w:name w:val="Question"/>
    <w:basedOn w:val="Beschriftung"/>
    <w:link w:val="QuestionChar"/>
    <w:qFormat/>
    <w:rsid w:val="00723FB6"/>
    <w:pPr>
      <w:spacing w:after="240" w:line="276" w:lineRule="auto"/>
      <w:ind w:left="708"/>
    </w:pPr>
    <w:rPr>
      <w:rFonts w:eastAsia="Times New Roman" w:cs="Times New Roman"/>
      <w:color w:val="auto"/>
      <w:lang w:eastAsia="de-DE"/>
    </w:rPr>
  </w:style>
  <w:style w:type="character" w:customStyle="1" w:styleId="BoldChar">
    <w:name w:val="Bold Char"/>
    <w:basedOn w:val="Absatz-Standardschriftart"/>
    <w:link w:val="Bold"/>
    <w:rsid w:val="00865E0F"/>
    <w:rPr>
      <w:rFonts w:ascii="Georgia" w:eastAsia="Times New Roman" w:hAnsi="Georgia" w:cs="Times New Roman"/>
      <w:b/>
      <w:bCs/>
      <w:sz w:val="18"/>
      <w:szCs w:val="18"/>
      <w:lang w:val="en-GB" w:eastAsia="de-DE"/>
    </w:rPr>
  </w:style>
  <w:style w:type="character" w:customStyle="1" w:styleId="QuestionChar">
    <w:name w:val="Question Char"/>
    <w:link w:val="Question"/>
    <w:rsid w:val="00723FB6"/>
    <w:rPr>
      <w:rFonts w:ascii="Georgia" w:eastAsia="Times New Roman" w:hAnsi="Georgia" w:cs="Times New Roman"/>
      <w:b/>
      <w:bCs/>
      <w:sz w:val="18"/>
      <w:szCs w:val="18"/>
      <w:lang w:val="en-GB" w:eastAsia="de-DE"/>
    </w:rPr>
  </w:style>
  <w:style w:type="paragraph" w:styleId="Beschriftung">
    <w:name w:val="caption"/>
    <w:basedOn w:val="Standard"/>
    <w:next w:val="Standard"/>
    <w:uiPriority w:val="35"/>
    <w:unhideWhenUsed/>
    <w:qFormat/>
    <w:rsid w:val="00B929D6"/>
    <w:pPr>
      <w:spacing w:before="240" w:line="240" w:lineRule="auto"/>
    </w:pPr>
    <w:rPr>
      <w:b/>
      <w:bCs/>
      <w:color w:val="C00000"/>
      <w:szCs w:val="18"/>
    </w:rPr>
  </w:style>
  <w:style w:type="paragraph" w:customStyle="1" w:styleId="Normalsanspara">
    <w:name w:val="Normal sans para"/>
    <w:basedOn w:val="Standard"/>
    <w:link w:val="NormalsansparaChar"/>
    <w:qFormat/>
    <w:rsid w:val="00723FB6"/>
    <w:pPr>
      <w:spacing w:before="120" w:after="240"/>
    </w:pPr>
    <w:rPr>
      <w:rFonts w:eastAsia="Times New Roman" w:cs="Times New Roman"/>
      <w:szCs w:val="24"/>
      <w:u w:val="single"/>
      <w:lang w:eastAsia="de-DE"/>
    </w:rPr>
  </w:style>
  <w:style w:type="character" w:customStyle="1" w:styleId="NormalsansparaChar">
    <w:name w:val="Normal sans para Char"/>
    <w:link w:val="Normalsanspara"/>
    <w:rsid w:val="00723FB6"/>
    <w:rPr>
      <w:rFonts w:ascii="Georgia" w:eastAsia="Times New Roman" w:hAnsi="Georgia" w:cs="Times New Roman"/>
      <w:sz w:val="20"/>
      <w:szCs w:val="24"/>
      <w:u w:val="single"/>
      <w:lang w:val="en-GB" w:eastAsia="de-DE"/>
    </w:rPr>
  </w:style>
  <w:style w:type="character" w:customStyle="1" w:styleId="berschrift1Zchn">
    <w:name w:val="Überschrift 1 Zchn"/>
    <w:basedOn w:val="Absatz-Standardschriftart"/>
    <w:link w:val="berschrift1"/>
    <w:rsid w:val="000A0AD9"/>
    <w:rPr>
      <w:rFonts w:ascii="Georgia" w:eastAsia="Times New Roman" w:hAnsi="Georgia" w:cs="Times New Roman"/>
      <w:b/>
      <w:color w:val="0070C0"/>
      <w:sz w:val="18"/>
      <w:szCs w:val="24"/>
      <w:lang w:val="en-GB" w:eastAsia="de-DE"/>
    </w:rPr>
  </w:style>
  <w:style w:type="character" w:customStyle="1" w:styleId="berschrift2Zchn">
    <w:name w:val="Überschrift 2 Zchn"/>
    <w:basedOn w:val="Absatz-Standardschriftart"/>
    <w:link w:val="berschrift2"/>
    <w:rsid w:val="000A0AD9"/>
    <w:rPr>
      <w:rFonts w:ascii="Georgia" w:eastAsia="Times New Roman" w:hAnsi="Georgia" w:cs="Times New Roman"/>
      <w:b/>
      <w:color w:val="0070C0"/>
      <w:sz w:val="18"/>
      <w:szCs w:val="20"/>
      <w:lang w:val="en-GB" w:eastAsia="de-DE"/>
    </w:rPr>
  </w:style>
  <w:style w:type="character" w:customStyle="1" w:styleId="berschrift3Zchn">
    <w:name w:val="Überschrift 3 Zchn"/>
    <w:basedOn w:val="Absatz-Standardschriftart"/>
    <w:link w:val="berschrift3"/>
    <w:rsid w:val="00723FB6"/>
    <w:rPr>
      <w:rFonts w:ascii="Georgia" w:eastAsia="Times New Roman" w:hAnsi="Georgia" w:cs="Times New Roman"/>
      <w:b/>
      <w:color w:val="0070C0"/>
      <w:sz w:val="18"/>
      <w:szCs w:val="20"/>
      <w:lang w:val="en-GB" w:eastAsia="de-DE"/>
    </w:rPr>
  </w:style>
  <w:style w:type="character" w:customStyle="1" w:styleId="berschrift4Zchn">
    <w:name w:val="Überschrift 4 Zchn"/>
    <w:basedOn w:val="Absatz-Standardschriftart"/>
    <w:link w:val="berschrift4"/>
    <w:rsid w:val="00723FB6"/>
    <w:rPr>
      <w:rFonts w:ascii="Georgia" w:eastAsia="Times New Roman" w:hAnsi="Georgia" w:cs="Times New Roman"/>
      <w:b/>
      <w:color w:val="0070C0"/>
      <w:sz w:val="18"/>
      <w:szCs w:val="20"/>
      <w:lang w:val="en-GB" w:eastAsia="de-DE"/>
    </w:rPr>
  </w:style>
  <w:style w:type="paragraph" w:customStyle="1" w:styleId="05dHeadline1line">
    <w:name w:val="05d_Headline 1 line"/>
    <w:basedOn w:val="Standard"/>
    <w:next w:val="Standard"/>
    <w:rsid w:val="00865E0F"/>
    <w:pPr>
      <w:keepNext/>
      <w:numPr>
        <w:numId w:val="2"/>
      </w:numPr>
      <w:pBdr>
        <w:top w:val="single" w:sz="4" w:space="10" w:color="000000"/>
      </w:pBdr>
      <w:tabs>
        <w:tab w:val="left" w:pos="284"/>
        <w:tab w:val="left" w:pos="397"/>
      </w:tabs>
      <w:spacing w:after="280" w:line="280" w:lineRule="exact"/>
    </w:pPr>
    <w:rPr>
      <w:rFonts w:eastAsia="Times New Roman" w:cs="Times New Roman"/>
      <w:b/>
      <w:color w:val="000000"/>
      <w:szCs w:val="24"/>
      <w:lang w:eastAsia="de-DE"/>
    </w:rPr>
  </w:style>
  <w:style w:type="paragraph" w:customStyle="1" w:styleId="Annex">
    <w:name w:val="Annex"/>
    <w:basedOn w:val="Standard"/>
    <w:link w:val="AnnexChar"/>
    <w:qFormat/>
    <w:rsid w:val="004D343D"/>
    <w:pPr>
      <w:spacing w:after="0" w:line="240" w:lineRule="auto"/>
      <w:jc w:val="left"/>
    </w:pPr>
    <w:rPr>
      <w:rFonts w:eastAsia="Times New Roman" w:cs="Times New Roman"/>
      <w:b/>
      <w:sz w:val="20"/>
      <w:lang w:eastAsia="de-DE"/>
    </w:rPr>
  </w:style>
  <w:style w:type="character" w:customStyle="1" w:styleId="AnnexChar">
    <w:name w:val="Annex Char"/>
    <w:link w:val="Annex"/>
    <w:rsid w:val="004D343D"/>
    <w:rPr>
      <w:rFonts w:ascii="Georgia" w:eastAsia="Times New Roman" w:hAnsi="Georgia" w:cs="Times New Roman"/>
      <w:b/>
      <w:sz w:val="20"/>
      <w:szCs w:val="20"/>
      <w:lang w:val="en-GB" w:eastAsia="de-DE"/>
    </w:rPr>
  </w:style>
  <w:style w:type="paragraph" w:customStyle="1" w:styleId="MyStyle">
    <w:name w:val="MyStyle"/>
    <w:basedOn w:val="Standard"/>
    <w:link w:val="MyStyleChar"/>
    <w:qFormat/>
    <w:rsid w:val="004D343D"/>
    <w:pPr>
      <w:pBdr>
        <w:bottom w:val="single" w:sz="4" w:space="1" w:color="17365D"/>
      </w:pBdr>
      <w:spacing w:after="0" w:line="240" w:lineRule="auto"/>
      <w:jc w:val="left"/>
    </w:pPr>
    <w:rPr>
      <w:rFonts w:eastAsia="Times New Roman" w:cs="Times New Roman"/>
      <w:b/>
      <w:sz w:val="22"/>
      <w:szCs w:val="24"/>
      <w:lang w:eastAsia="de-DE"/>
    </w:rPr>
  </w:style>
  <w:style w:type="character" w:customStyle="1" w:styleId="MyStyleChar">
    <w:name w:val="MyStyle Char"/>
    <w:link w:val="MyStyle"/>
    <w:rsid w:val="004D343D"/>
    <w:rPr>
      <w:rFonts w:ascii="Georgia" w:eastAsia="Times New Roman" w:hAnsi="Georgia" w:cs="Times New Roman"/>
      <w:b/>
      <w:szCs w:val="24"/>
      <w:lang w:val="en-GB" w:eastAsia="de-DE"/>
    </w:rPr>
  </w:style>
  <w:style w:type="paragraph" w:styleId="Kopfzeile">
    <w:name w:val="header"/>
    <w:basedOn w:val="Standard"/>
    <w:link w:val="KopfzeileZchn"/>
    <w:uiPriority w:val="99"/>
    <w:unhideWhenUsed/>
    <w:rsid w:val="004D34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343D"/>
    <w:rPr>
      <w:rFonts w:ascii="Georgia" w:hAnsi="Georgia"/>
      <w:sz w:val="18"/>
      <w:szCs w:val="20"/>
      <w:lang w:val="en-GB"/>
    </w:rPr>
  </w:style>
  <w:style w:type="paragraph" w:styleId="Fuzeile">
    <w:name w:val="footer"/>
    <w:basedOn w:val="Standard"/>
    <w:link w:val="FuzeileZchn"/>
    <w:uiPriority w:val="99"/>
    <w:unhideWhenUsed/>
    <w:rsid w:val="004D34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343D"/>
    <w:rPr>
      <w:rFonts w:ascii="Georgia" w:hAnsi="Georgia"/>
      <w:sz w:val="18"/>
      <w:szCs w:val="20"/>
      <w:lang w:val="en-GB"/>
    </w:rPr>
  </w:style>
  <w:style w:type="paragraph" w:styleId="Sprechblasentext">
    <w:name w:val="Balloon Text"/>
    <w:basedOn w:val="Standard"/>
    <w:link w:val="SprechblasentextZchn"/>
    <w:uiPriority w:val="99"/>
    <w:semiHidden/>
    <w:unhideWhenUsed/>
    <w:rsid w:val="004E331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E3315"/>
    <w:rPr>
      <w:rFonts w:ascii="Tahoma" w:hAnsi="Tahoma" w:cs="Tahoma"/>
      <w:sz w:val="16"/>
      <w:szCs w:val="16"/>
      <w:lang w:val="en-GB"/>
    </w:rPr>
  </w:style>
  <w:style w:type="paragraph" w:styleId="Listenabsatz">
    <w:name w:val="List Paragraph"/>
    <w:basedOn w:val="Standard"/>
    <w:uiPriority w:val="34"/>
    <w:qFormat/>
    <w:rsid w:val="00CB72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A8939-D066-4502-96B0-B9A2E957D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3291</Words>
  <Characters>20738</Characters>
  <Application>Microsoft Office Word</Application>
  <DocSecurity>0</DocSecurity>
  <Lines>172</Lines>
  <Paragraphs>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dc:creator>
  <cp:lastModifiedBy>Meyer-Arndt, Xenia</cp:lastModifiedBy>
  <cp:revision>2</cp:revision>
  <cp:lastPrinted>2013-09-04T10:06:00Z</cp:lastPrinted>
  <dcterms:created xsi:type="dcterms:W3CDTF">2013-09-12T09:35:00Z</dcterms:created>
  <dcterms:modified xsi:type="dcterms:W3CDTF">2013-09-12T09:35:00Z</dcterms:modified>
</cp:coreProperties>
</file>