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Look w:val="01E0"/>
      </w:tblPr>
      <w:tblGrid>
        <w:gridCol w:w="4498"/>
        <w:gridCol w:w="4606"/>
      </w:tblGrid>
      <w:tr w:rsidR="003D0C93" w:rsidRPr="00B62252" w:rsidTr="003D0C93">
        <w:trPr>
          <w:trHeight w:val="261"/>
        </w:trPr>
        <w:tc>
          <w:tcPr>
            <w:tcW w:w="4498" w:type="dxa"/>
          </w:tcPr>
          <w:p w:rsidR="00D17DEE" w:rsidRPr="00BC289A" w:rsidRDefault="00D17DEE" w:rsidP="00132CCF">
            <w:pPr>
              <w:spacing w:after="60"/>
              <w:ind w:right="57"/>
              <w:rPr>
                <w:rFonts w:asciiTheme="minorHAnsi" w:hAnsiTheme="minorHAnsi" w:cs="Arial"/>
                <w:bCs/>
                <w:szCs w:val="22"/>
              </w:rPr>
            </w:pPr>
          </w:p>
        </w:tc>
        <w:tc>
          <w:tcPr>
            <w:tcW w:w="4606" w:type="dxa"/>
          </w:tcPr>
          <w:p w:rsidR="003D0C93" w:rsidRPr="00B62252" w:rsidRDefault="006F1A47" w:rsidP="003D0C93">
            <w:pPr>
              <w:ind w:left="-108" w:right="-76"/>
              <w:jc w:val="right"/>
              <w:rPr>
                <w:rFonts w:asciiTheme="minorHAnsi" w:hAnsiTheme="minorHAnsi" w:cs="Arial"/>
                <w:szCs w:val="22"/>
              </w:rPr>
            </w:pPr>
            <w:r>
              <w:rPr>
                <w:rFonts w:asciiTheme="minorHAnsi" w:hAnsiTheme="minorHAnsi" w:cs="Arial"/>
                <w:szCs w:val="22"/>
              </w:rPr>
              <w:t>10</w:t>
            </w:r>
            <w:r w:rsidR="00F51EE4">
              <w:rPr>
                <w:rFonts w:asciiTheme="minorHAnsi" w:hAnsiTheme="minorHAnsi" w:cs="Arial"/>
                <w:szCs w:val="22"/>
              </w:rPr>
              <w:t>/10</w:t>
            </w:r>
            <w:r w:rsidR="003D0C93" w:rsidRPr="00B62252">
              <w:rPr>
                <w:rFonts w:asciiTheme="minorHAnsi" w:hAnsiTheme="minorHAnsi" w:cs="Arial"/>
                <w:szCs w:val="22"/>
              </w:rPr>
              <w:t>/2013</w:t>
            </w:r>
          </w:p>
          <w:p w:rsidR="003D0C93" w:rsidRPr="00B62252" w:rsidRDefault="000D7CE3" w:rsidP="003D0C93">
            <w:pPr>
              <w:ind w:left="-108" w:right="-76"/>
              <w:jc w:val="right"/>
              <w:rPr>
                <w:rFonts w:asciiTheme="minorHAnsi" w:hAnsiTheme="minorHAnsi" w:cs="Arial"/>
                <w:szCs w:val="22"/>
              </w:rPr>
            </w:pPr>
            <w:r>
              <w:rPr>
                <w:rFonts w:asciiTheme="minorHAnsi" w:hAnsiTheme="minorHAnsi" w:cs="Arial"/>
                <w:szCs w:val="22"/>
              </w:rPr>
              <w:t>2013-225</w:t>
            </w:r>
          </w:p>
          <w:p w:rsidR="003D0C93" w:rsidRPr="00B62252" w:rsidRDefault="003D0C93" w:rsidP="003D0C93">
            <w:pPr>
              <w:ind w:right="-76"/>
              <w:jc w:val="right"/>
              <w:rPr>
                <w:rFonts w:asciiTheme="minorHAnsi" w:hAnsiTheme="minorHAnsi" w:cs="Arial"/>
                <w:szCs w:val="22"/>
              </w:rPr>
            </w:pPr>
          </w:p>
        </w:tc>
      </w:tr>
    </w:tbl>
    <w:p w:rsidR="003D0C93" w:rsidRDefault="003D0C93" w:rsidP="00C544BA"/>
    <w:p w:rsidR="003D0C93" w:rsidRDefault="003D0C93" w:rsidP="003D0C93">
      <w:pPr>
        <w:pBdr>
          <w:top w:val="single" w:sz="4" w:space="1" w:color="auto"/>
          <w:left w:val="single" w:sz="4" w:space="4" w:color="auto"/>
          <w:bottom w:val="single" w:sz="4" w:space="1" w:color="auto"/>
          <w:right w:val="single" w:sz="4" w:space="4" w:color="auto"/>
        </w:pBdr>
        <w:jc w:val="center"/>
        <w:rPr>
          <w:rFonts w:asciiTheme="minorHAnsi" w:hAnsiTheme="minorHAnsi"/>
          <w:b/>
        </w:rPr>
      </w:pPr>
    </w:p>
    <w:p w:rsidR="007A15AF" w:rsidRDefault="00BC289A" w:rsidP="003D0C93">
      <w:pPr>
        <w:pBdr>
          <w:top w:val="single" w:sz="4" w:space="1" w:color="auto"/>
          <w:left w:val="single" w:sz="4" w:space="4" w:color="auto"/>
          <w:bottom w:val="single" w:sz="4" w:space="1" w:color="auto"/>
          <w:right w:val="single" w:sz="4" w:space="4" w:color="auto"/>
        </w:pBdr>
        <w:jc w:val="center"/>
        <w:rPr>
          <w:rFonts w:asciiTheme="minorHAnsi" w:hAnsiTheme="minorHAnsi"/>
          <w:b/>
        </w:rPr>
      </w:pPr>
      <w:proofErr w:type="spellStart"/>
      <w:r>
        <w:rPr>
          <w:rFonts w:asciiTheme="minorHAnsi" w:hAnsiTheme="minorHAnsi"/>
          <w:b/>
        </w:rPr>
        <w:t>ESMA’s</w:t>
      </w:r>
      <w:proofErr w:type="spellEnd"/>
      <w:r>
        <w:rPr>
          <w:rFonts w:asciiTheme="minorHAnsi" w:hAnsiTheme="minorHAnsi"/>
          <w:b/>
        </w:rPr>
        <w:t xml:space="preserve"> Discussion </w:t>
      </w:r>
      <w:proofErr w:type="spellStart"/>
      <w:r>
        <w:rPr>
          <w:rFonts w:asciiTheme="minorHAnsi" w:hAnsiTheme="minorHAnsi"/>
          <w:b/>
        </w:rPr>
        <w:t>paper</w:t>
      </w:r>
      <w:proofErr w:type="spellEnd"/>
      <w:r>
        <w:rPr>
          <w:rFonts w:asciiTheme="minorHAnsi" w:hAnsiTheme="minorHAnsi"/>
          <w:b/>
        </w:rPr>
        <w:t xml:space="preserve"> on CRA3 </w:t>
      </w:r>
      <w:proofErr w:type="spellStart"/>
      <w:r>
        <w:rPr>
          <w:rFonts w:asciiTheme="minorHAnsi" w:hAnsiTheme="minorHAnsi"/>
          <w:b/>
        </w:rPr>
        <w:t>Implementation</w:t>
      </w:r>
      <w:proofErr w:type="spellEnd"/>
    </w:p>
    <w:p w:rsidR="004C253D" w:rsidRDefault="004C253D" w:rsidP="003D0C93">
      <w:pPr>
        <w:pBdr>
          <w:top w:val="single" w:sz="4" w:space="1" w:color="auto"/>
          <w:left w:val="single" w:sz="4" w:space="4" w:color="auto"/>
          <w:bottom w:val="single" w:sz="4" w:space="1" w:color="auto"/>
          <w:right w:val="single" w:sz="4" w:space="4" w:color="auto"/>
        </w:pBdr>
        <w:jc w:val="center"/>
        <w:rPr>
          <w:rFonts w:asciiTheme="minorHAnsi" w:hAnsiTheme="minorHAnsi"/>
          <w:b/>
        </w:rPr>
      </w:pPr>
    </w:p>
    <w:p w:rsidR="00BC289A" w:rsidRPr="00F51EE4" w:rsidRDefault="00BC289A" w:rsidP="003D0C93">
      <w:pPr>
        <w:pBdr>
          <w:top w:val="single" w:sz="4" w:space="1" w:color="auto"/>
          <w:left w:val="single" w:sz="4" w:space="4" w:color="auto"/>
          <w:bottom w:val="single" w:sz="4" w:space="1" w:color="auto"/>
          <w:right w:val="single" w:sz="4" w:space="4" w:color="auto"/>
        </w:pBdr>
        <w:jc w:val="center"/>
        <w:rPr>
          <w:rFonts w:asciiTheme="minorHAnsi" w:hAnsiTheme="minorHAnsi"/>
          <w:b/>
          <w:i/>
        </w:rPr>
      </w:pPr>
      <w:r>
        <w:rPr>
          <w:rFonts w:asciiTheme="minorHAnsi" w:hAnsiTheme="minorHAnsi"/>
          <w:b/>
        </w:rPr>
        <w:t xml:space="preserve">Banque de </w:t>
      </w:r>
      <w:r w:rsidR="00D10ED7">
        <w:rPr>
          <w:rFonts w:asciiTheme="minorHAnsi" w:hAnsiTheme="minorHAnsi"/>
          <w:b/>
        </w:rPr>
        <w:t xml:space="preserve">France </w:t>
      </w:r>
      <w:r w:rsidR="00347978">
        <w:rPr>
          <w:rFonts w:asciiTheme="minorHAnsi" w:hAnsiTheme="minorHAnsi"/>
          <w:b/>
        </w:rPr>
        <w:t xml:space="preserve">and </w:t>
      </w:r>
      <w:proofErr w:type="spellStart"/>
      <w:r w:rsidR="00D10ED7">
        <w:rPr>
          <w:rFonts w:asciiTheme="minorHAnsi" w:hAnsiTheme="minorHAnsi"/>
          <w:b/>
        </w:rPr>
        <w:t>ACPR</w:t>
      </w:r>
      <w:r w:rsidR="00347978">
        <w:rPr>
          <w:rFonts w:asciiTheme="minorHAnsi" w:hAnsiTheme="minorHAnsi"/>
          <w:b/>
        </w:rPr>
        <w:t>’s</w:t>
      </w:r>
      <w:proofErr w:type="spellEnd"/>
      <w:r w:rsidR="00347978">
        <w:rPr>
          <w:rFonts w:asciiTheme="minorHAnsi" w:hAnsiTheme="minorHAnsi"/>
          <w:b/>
        </w:rPr>
        <w:t xml:space="preserve"> answer</w:t>
      </w:r>
    </w:p>
    <w:p w:rsidR="003D0C93" w:rsidRPr="003D0C93" w:rsidRDefault="003D0C93" w:rsidP="003D0C93">
      <w:pPr>
        <w:pBdr>
          <w:top w:val="single" w:sz="4" w:space="1" w:color="auto"/>
          <w:left w:val="single" w:sz="4" w:space="4" w:color="auto"/>
          <w:bottom w:val="single" w:sz="4" w:space="1" w:color="auto"/>
          <w:right w:val="single" w:sz="4" w:space="4" w:color="auto"/>
        </w:pBdr>
        <w:jc w:val="center"/>
        <w:rPr>
          <w:rFonts w:asciiTheme="minorHAnsi" w:hAnsiTheme="minorHAnsi"/>
          <w:b/>
        </w:rPr>
      </w:pPr>
    </w:p>
    <w:p w:rsidR="005C3998" w:rsidRDefault="005C3998" w:rsidP="00C544BA"/>
    <w:p w:rsidR="00BC289A" w:rsidRDefault="00BC289A" w:rsidP="00BC289A">
      <w:pPr>
        <w:spacing w:line="480" w:lineRule="auto"/>
        <w:rPr>
          <w:rFonts w:ascii="Georgia" w:hAnsi="Georgia"/>
          <w:sz w:val="24"/>
          <w:szCs w:val="24"/>
        </w:rPr>
      </w:pPr>
    </w:p>
    <w:p w:rsidR="00E16818" w:rsidRPr="004844EA" w:rsidRDefault="00E16818" w:rsidP="00E16818">
      <w:pPr>
        <w:spacing w:line="480" w:lineRule="auto"/>
        <w:rPr>
          <w:rFonts w:ascii="Georgia" w:hAnsi="Georgia"/>
          <w:b/>
          <w:bCs/>
          <w:sz w:val="24"/>
          <w:szCs w:val="24"/>
          <w:lang w:val="en-US"/>
        </w:rPr>
      </w:pPr>
      <w:r w:rsidRPr="004844EA">
        <w:rPr>
          <w:rFonts w:ascii="Georgia" w:hAnsi="Georgia"/>
          <w:sz w:val="24"/>
          <w:szCs w:val="24"/>
          <w:lang w:val="en-US"/>
        </w:rPr>
        <w:t xml:space="preserve">Credit rating agencies have a major </w:t>
      </w:r>
      <w:r>
        <w:rPr>
          <w:rFonts w:ascii="Georgia" w:hAnsi="Georgia"/>
          <w:sz w:val="24"/>
          <w:szCs w:val="24"/>
          <w:lang w:val="en-US"/>
        </w:rPr>
        <w:t>influence</w:t>
      </w:r>
      <w:r w:rsidRPr="004844EA">
        <w:rPr>
          <w:rFonts w:ascii="Georgia" w:hAnsi="Georgia"/>
          <w:sz w:val="24"/>
          <w:szCs w:val="24"/>
          <w:lang w:val="en-US"/>
        </w:rPr>
        <w:t xml:space="preserve"> on financial markets, as their rating actions are closely monitored and have important impact</w:t>
      </w:r>
      <w:r>
        <w:rPr>
          <w:rFonts w:ascii="Georgia" w:hAnsi="Georgia"/>
          <w:sz w:val="24"/>
          <w:szCs w:val="24"/>
          <w:lang w:val="en-US"/>
        </w:rPr>
        <w:t>s</w:t>
      </w:r>
      <w:r w:rsidRPr="004844EA">
        <w:rPr>
          <w:rFonts w:ascii="Georgia" w:hAnsi="Georgia"/>
          <w:sz w:val="24"/>
          <w:szCs w:val="24"/>
          <w:lang w:val="en-US"/>
        </w:rPr>
        <w:t xml:space="preserve"> on borrowers, investors, issuers and governments alike. The financial crisis has laid bare significant weaknesses in the governance and </w:t>
      </w:r>
      <w:r>
        <w:rPr>
          <w:rFonts w:ascii="Georgia" w:hAnsi="Georgia"/>
          <w:sz w:val="24"/>
          <w:szCs w:val="24"/>
          <w:lang w:val="en-US"/>
        </w:rPr>
        <w:t xml:space="preserve">internal </w:t>
      </w:r>
      <w:r w:rsidRPr="004844EA">
        <w:rPr>
          <w:rFonts w:ascii="Georgia" w:hAnsi="Georgia"/>
          <w:sz w:val="24"/>
          <w:szCs w:val="24"/>
          <w:lang w:val="en-US"/>
        </w:rPr>
        <w:t xml:space="preserve">processes of these agencies. In the run up to the financial crisis, they </w:t>
      </w:r>
      <w:r>
        <w:rPr>
          <w:rFonts w:ascii="Georgia" w:hAnsi="Georgia"/>
          <w:sz w:val="24"/>
          <w:szCs w:val="24"/>
          <w:lang w:val="en-US"/>
        </w:rPr>
        <w:t xml:space="preserve">notably </w:t>
      </w:r>
      <w:r w:rsidRPr="004844EA">
        <w:rPr>
          <w:rFonts w:ascii="Georgia" w:hAnsi="Georgia"/>
          <w:sz w:val="24"/>
          <w:szCs w:val="24"/>
          <w:lang w:val="en-US"/>
        </w:rPr>
        <w:t xml:space="preserve">failed to properly appreciate the risks of structured financial instruments. </w:t>
      </w:r>
      <w:r>
        <w:rPr>
          <w:rFonts w:ascii="Georgia" w:hAnsi="Georgia"/>
          <w:sz w:val="24"/>
          <w:szCs w:val="24"/>
          <w:lang w:val="en-US"/>
        </w:rPr>
        <w:t>Mechanistic reliance</w:t>
      </w:r>
      <w:r w:rsidRPr="004844EA">
        <w:rPr>
          <w:rFonts w:ascii="Georgia" w:hAnsi="Georgia"/>
          <w:sz w:val="24"/>
          <w:szCs w:val="24"/>
          <w:lang w:val="en-US"/>
        </w:rPr>
        <w:t xml:space="preserve"> on ratings, as embedded in many regulations and private contracts, can destabilize financial markets and is a major source of pro-cyclicality. With regards to </w:t>
      </w:r>
      <w:r>
        <w:rPr>
          <w:rFonts w:ascii="Georgia" w:hAnsi="Georgia"/>
          <w:sz w:val="24"/>
          <w:szCs w:val="24"/>
          <w:lang w:val="en-US"/>
        </w:rPr>
        <w:t xml:space="preserve">the </w:t>
      </w:r>
      <w:r w:rsidRPr="004844EA">
        <w:rPr>
          <w:rFonts w:ascii="Georgia" w:hAnsi="Georgia"/>
          <w:sz w:val="24"/>
          <w:szCs w:val="24"/>
          <w:lang w:val="en-US"/>
        </w:rPr>
        <w:t>potential impact of external ratings on market confidence and financial stability, Banque de France</w:t>
      </w:r>
      <w:r>
        <w:rPr>
          <w:rFonts w:ascii="Georgia" w:hAnsi="Georgia"/>
          <w:sz w:val="24"/>
          <w:szCs w:val="24"/>
          <w:lang w:val="en-US"/>
        </w:rPr>
        <w:t>/ACPR</w:t>
      </w:r>
      <w:r w:rsidRPr="004844EA">
        <w:rPr>
          <w:rFonts w:ascii="Georgia" w:hAnsi="Georgia"/>
          <w:sz w:val="24"/>
          <w:szCs w:val="24"/>
          <w:lang w:val="en-US"/>
        </w:rPr>
        <w:t xml:space="preserve"> supports policy measures aiming at improving governance, transparency, disclosure and comparability in the rating activity and to reduce </w:t>
      </w:r>
      <w:r>
        <w:rPr>
          <w:rFonts w:ascii="Georgia" w:hAnsi="Georgia"/>
          <w:sz w:val="24"/>
          <w:szCs w:val="24"/>
          <w:lang w:val="en-US"/>
        </w:rPr>
        <w:t>mechanistic reliance</w:t>
      </w:r>
      <w:r w:rsidRPr="004844EA">
        <w:rPr>
          <w:rFonts w:ascii="Georgia" w:hAnsi="Georgia"/>
          <w:sz w:val="24"/>
          <w:szCs w:val="24"/>
          <w:lang w:val="en-US"/>
        </w:rPr>
        <w:t xml:space="preserve"> on external credit ratings. Banque de France</w:t>
      </w:r>
      <w:r>
        <w:rPr>
          <w:rFonts w:ascii="Georgia" w:hAnsi="Georgia"/>
          <w:sz w:val="24"/>
          <w:szCs w:val="24"/>
          <w:lang w:val="en-US"/>
        </w:rPr>
        <w:t>/ACPR</w:t>
      </w:r>
      <w:r w:rsidRPr="004844EA">
        <w:rPr>
          <w:rFonts w:ascii="Georgia" w:hAnsi="Georgia"/>
          <w:sz w:val="24"/>
          <w:szCs w:val="24"/>
          <w:lang w:val="en-US"/>
        </w:rPr>
        <w:t xml:space="preserve"> has therefore a keen interest in the  consultation paper of ESMA relative to draft RTS on structured finance instruments and the European rating platform , both of which will allow for more transparency and help investors to realize their own diligences. Whilst Banque de France</w:t>
      </w:r>
      <w:r>
        <w:rPr>
          <w:rFonts w:ascii="Georgia" w:hAnsi="Georgia"/>
          <w:sz w:val="24"/>
          <w:szCs w:val="24"/>
          <w:lang w:val="en-US"/>
        </w:rPr>
        <w:t>/ACPR</w:t>
      </w:r>
      <w:r w:rsidRPr="004844EA" w:rsidDel="00293F82">
        <w:rPr>
          <w:rFonts w:ascii="Georgia" w:hAnsi="Georgia"/>
          <w:sz w:val="24"/>
          <w:szCs w:val="24"/>
          <w:lang w:val="en-US"/>
        </w:rPr>
        <w:t xml:space="preserve"> </w:t>
      </w:r>
      <w:r w:rsidRPr="004844EA">
        <w:rPr>
          <w:rFonts w:ascii="Georgia" w:hAnsi="Georgia"/>
          <w:sz w:val="24"/>
          <w:szCs w:val="24"/>
          <w:lang w:val="en-US"/>
        </w:rPr>
        <w:t xml:space="preserve">supports the disclosure requirement of detailed information regarding structured finance instruments and the creation of the European Rating platform, it highlights </w:t>
      </w:r>
      <w:r w:rsidRPr="004844EA">
        <w:rPr>
          <w:rFonts w:ascii="Georgia" w:hAnsi="Georgia"/>
          <w:sz w:val="24"/>
          <w:szCs w:val="24"/>
          <w:lang w:val="en-US"/>
        </w:rPr>
        <w:lastRenderedPageBreak/>
        <w:t xml:space="preserve">the necessity for ESMA to pursue synergies with the ABS loan level data initiative and with the EBA mapping.  </w:t>
      </w:r>
    </w:p>
    <w:p w:rsidR="00E16818" w:rsidRPr="004844EA" w:rsidRDefault="00E16818" w:rsidP="00E16818">
      <w:pPr>
        <w:spacing w:line="480" w:lineRule="auto"/>
        <w:rPr>
          <w:rFonts w:ascii="Georgia" w:hAnsi="Georgia"/>
          <w:sz w:val="24"/>
          <w:szCs w:val="24"/>
          <w:lang w:val="en-US"/>
        </w:rPr>
      </w:pPr>
      <w:r w:rsidRPr="004844EA">
        <w:rPr>
          <w:rFonts w:ascii="Georgia" w:hAnsi="Georgia"/>
          <w:sz w:val="24"/>
          <w:szCs w:val="24"/>
          <w:lang w:val="en-US"/>
        </w:rPr>
        <w:t xml:space="preserve">As </w:t>
      </w:r>
      <w:r>
        <w:rPr>
          <w:rFonts w:ascii="Georgia" w:hAnsi="Georgia"/>
          <w:sz w:val="24"/>
          <w:szCs w:val="24"/>
          <w:lang w:val="en-US"/>
        </w:rPr>
        <w:t xml:space="preserve">a </w:t>
      </w:r>
      <w:r w:rsidRPr="004844EA">
        <w:rPr>
          <w:rFonts w:ascii="Georgia" w:hAnsi="Georgia"/>
          <w:sz w:val="24"/>
          <w:szCs w:val="24"/>
          <w:lang w:val="en-US"/>
        </w:rPr>
        <w:t>member of the Eurosystem, Banque de France is directly concerned with the services that rating agencies provide in the context of Eurosystem tasks and obligations with regards to both the conduct of monetary policy operations and asset management operations. For monetary policy purpose</w:t>
      </w:r>
      <w:r w:rsidR="00231427">
        <w:rPr>
          <w:rFonts w:ascii="Georgia" w:hAnsi="Georgia"/>
          <w:sz w:val="24"/>
          <w:szCs w:val="24"/>
          <w:lang w:val="en-US"/>
        </w:rPr>
        <w:t>s</w:t>
      </w:r>
      <w:r w:rsidRPr="004844EA">
        <w:rPr>
          <w:rFonts w:ascii="Georgia" w:hAnsi="Georgia"/>
          <w:sz w:val="24"/>
          <w:szCs w:val="24"/>
          <w:lang w:val="en-US"/>
        </w:rPr>
        <w:t xml:space="preserve">, the eligibility and haircuts of marketable assets are partly based on credit quality. In the assessment of credit standards of eligible assets, </w:t>
      </w:r>
      <w:r>
        <w:rPr>
          <w:rFonts w:ascii="Georgia" w:hAnsi="Georgia"/>
          <w:sz w:val="24"/>
          <w:szCs w:val="24"/>
          <w:lang w:val="en-US"/>
        </w:rPr>
        <w:t>t</w:t>
      </w:r>
      <w:r w:rsidRPr="004844EA">
        <w:rPr>
          <w:rFonts w:ascii="Georgia" w:hAnsi="Georgia"/>
          <w:sz w:val="24"/>
          <w:szCs w:val="24"/>
          <w:lang w:val="en-US"/>
        </w:rPr>
        <w:t xml:space="preserve">he Eurosystem takes into account , </w:t>
      </w:r>
      <w:r w:rsidRPr="004844EA">
        <w:rPr>
          <w:rFonts w:ascii="Georgia" w:hAnsi="Georgia"/>
          <w:i/>
          <w:sz w:val="24"/>
          <w:szCs w:val="24"/>
          <w:lang w:val="en-US"/>
        </w:rPr>
        <w:t xml:space="preserve">inter alia, </w:t>
      </w:r>
      <w:r w:rsidRPr="004844EA">
        <w:rPr>
          <w:rFonts w:ascii="Georgia" w:hAnsi="Georgia"/>
          <w:sz w:val="24"/>
          <w:szCs w:val="24"/>
          <w:lang w:val="en-US"/>
        </w:rPr>
        <w:t>credit assessments from different sources, including “external credit assessment institutions” (ECAI).</w:t>
      </w:r>
    </w:p>
    <w:p w:rsidR="00E16818" w:rsidRPr="004844EA" w:rsidRDefault="00E16818" w:rsidP="00E16818">
      <w:pPr>
        <w:spacing w:line="480" w:lineRule="auto"/>
        <w:rPr>
          <w:rFonts w:ascii="Georgia" w:hAnsi="Georgia"/>
          <w:b/>
          <w:bCs/>
          <w:sz w:val="24"/>
          <w:szCs w:val="24"/>
          <w:lang w:val="en-US"/>
        </w:rPr>
      </w:pPr>
      <w:r w:rsidRPr="004844EA">
        <w:rPr>
          <w:rFonts w:ascii="Georgia" w:hAnsi="Georgia"/>
          <w:sz w:val="24"/>
          <w:szCs w:val="24"/>
          <w:lang w:val="en-US"/>
        </w:rPr>
        <w:t xml:space="preserve">In addition, </w:t>
      </w:r>
      <w:proofErr w:type="gramStart"/>
      <w:r w:rsidRPr="004844EA">
        <w:rPr>
          <w:rFonts w:ascii="Georgia" w:hAnsi="Georgia"/>
          <w:sz w:val="24"/>
          <w:szCs w:val="24"/>
          <w:lang w:val="en-US"/>
        </w:rPr>
        <w:t>ACPR ,</w:t>
      </w:r>
      <w:proofErr w:type="gramEnd"/>
      <w:r w:rsidRPr="004844EA">
        <w:rPr>
          <w:rFonts w:ascii="Georgia" w:hAnsi="Georgia"/>
          <w:sz w:val="24"/>
          <w:szCs w:val="24"/>
          <w:lang w:val="en-US"/>
        </w:rPr>
        <w:t xml:space="preserve"> the French Supervisory and Resolution Authority</w:t>
      </w:r>
      <w:r>
        <w:rPr>
          <w:rFonts w:ascii="Georgia" w:hAnsi="Georgia"/>
          <w:sz w:val="24"/>
          <w:szCs w:val="24"/>
          <w:lang w:val="en-US"/>
        </w:rPr>
        <w:t>,</w:t>
      </w:r>
      <w:r w:rsidRPr="004844EA">
        <w:rPr>
          <w:rFonts w:ascii="Georgia" w:hAnsi="Georgia"/>
          <w:sz w:val="24"/>
          <w:szCs w:val="24"/>
          <w:lang w:val="en-US"/>
        </w:rPr>
        <w:t xml:space="preserve"> as </w:t>
      </w:r>
      <w:r>
        <w:rPr>
          <w:rFonts w:ascii="Georgia" w:hAnsi="Georgia"/>
          <w:sz w:val="24"/>
          <w:szCs w:val="24"/>
          <w:lang w:val="en-US"/>
        </w:rPr>
        <w:t xml:space="preserve">a </w:t>
      </w:r>
      <w:r w:rsidRPr="004844EA">
        <w:rPr>
          <w:rFonts w:ascii="Georgia" w:hAnsi="Georgia"/>
          <w:sz w:val="24"/>
          <w:szCs w:val="24"/>
          <w:lang w:val="en-US"/>
        </w:rPr>
        <w:t>member of EBA and EIOPA, participate</w:t>
      </w:r>
      <w:r>
        <w:rPr>
          <w:rFonts w:ascii="Georgia" w:hAnsi="Georgia"/>
          <w:sz w:val="24"/>
          <w:szCs w:val="24"/>
          <w:lang w:val="en-US"/>
        </w:rPr>
        <w:t>s</w:t>
      </w:r>
      <w:r w:rsidRPr="004844EA">
        <w:rPr>
          <w:rFonts w:ascii="Georgia" w:hAnsi="Georgia"/>
          <w:sz w:val="24"/>
          <w:szCs w:val="24"/>
          <w:lang w:val="en-US"/>
        </w:rPr>
        <w:t xml:space="preserve"> in the work of the Task Force on CRA 3 implementation. It notably </w:t>
      </w:r>
      <w:r>
        <w:rPr>
          <w:rFonts w:ascii="Georgia" w:hAnsi="Georgia"/>
          <w:sz w:val="24"/>
          <w:szCs w:val="24"/>
          <w:lang w:val="en-US"/>
        </w:rPr>
        <w:t>takes part</w:t>
      </w:r>
      <w:r w:rsidRPr="004844EA">
        <w:rPr>
          <w:rFonts w:ascii="Georgia" w:hAnsi="Georgia"/>
          <w:sz w:val="24"/>
          <w:szCs w:val="24"/>
          <w:lang w:val="en-US"/>
        </w:rPr>
        <w:t xml:space="preserve"> in EBA’s task force on the work for the mapping of ECAI’s credit assessment under standardize</w:t>
      </w:r>
      <w:r>
        <w:rPr>
          <w:rFonts w:ascii="Georgia" w:hAnsi="Georgia"/>
          <w:sz w:val="24"/>
          <w:szCs w:val="24"/>
          <w:lang w:val="en-US"/>
        </w:rPr>
        <w:t>d</w:t>
      </w:r>
      <w:r w:rsidRPr="004844EA">
        <w:rPr>
          <w:rFonts w:ascii="Georgia" w:hAnsi="Georgia"/>
          <w:sz w:val="24"/>
          <w:szCs w:val="24"/>
          <w:lang w:val="en-US"/>
        </w:rPr>
        <w:t xml:space="preserve"> approach. </w:t>
      </w:r>
    </w:p>
    <w:p w:rsidR="00E16818" w:rsidRPr="004844EA" w:rsidRDefault="00E16818" w:rsidP="00E16818">
      <w:pPr>
        <w:pStyle w:val="Default"/>
        <w:rPr>
          <w:b/>
          <w:bCs/>
          <w:lang w:val="en-US"/>
        </w:rPr>
      </w:pPr>
    </w:p>
    <w:p w:rsidR="00E16818" w:rsidRPr="00E837F4" w:rsidRDefault="00E16818" w:rsidP="00E16818">
      <w:pPr>
        <w:pStyle w:val="Default"/>
        <w:rPr>
          <w:sz w:val="28"/>
          <w:szCs w:val="28"/>
          <w:lang w:val="en-US"/>
        </w:rPr>
      </w:pPr>
      <w:r w:rsidRPr="00E837F4">
        <w:rPr>
          <w:b/>
          <w:bCs/>
          <w:sz w:val="28"/>
          <w:szCs w:val="28"/>
          <w:lang w:val="en-US"/>
        </w:rPr>
        <w:t xml:space="preserve">Annex I – SUMMARY OF QUESTIONS </w:t>
      </w:r>
    </w:p>
    <w:p w:rsidR="00E16818" w:rsidRDefault="00E16818" w:rsidP="00E16818">
      <w:pPr>
        <w:pStyle w:val="Default"/>
        <w:rPr>
          <w:b/>
          <w:bCs/>
          <w:sz w:val="22"/>
          <w:szCs w:val="22"/>
          <w:lang w:val="en-US"/>
        </w:rPr>
      </w:pPr>
      <w:r w:rsidRPr="00E837F4">
        <w:rPr>
          <w:b/>
          <w:bCs/>
          <w:sz w:val="22"/>
          <w:szCs w:val="22"/>
          <w:lang w:val="en-US"/>
        </w:rPr>
        <w:t xml:space="preserve">II. DRAFT RTS on INFORMATION ON STRUCTURED FINANCE INSTRUMENTS </w:t>
      </w:r>
    </w:p>
    <w:p w:rsidR="00E16818" w:rsidRPr="00E837F4" w:rsidRDefault="00E16818" w:rsidP="00E16818">
      <w:pPr>
        <w:pStyle w:val="Default"/>
        <w:rPr>
          <w:sz w:val="22"/>
          <w:szCs w:val="22"/>
          <w:lang w:val="en-US"/>
        </w:rPr>
      </w:pPr>
    </w:p>
    <w:p w:rsidR="00E16818" w:rsidRDefault="00E16818" w:rsidP="00E16818">
      <w:pPr>
        <w:pStyle w:val="Default"/>
        <w:rPr>
          <w:b/>
          <w:bCs/>
          <w:sz w:val="22"/>
          <w:szCs w:val="22"/>
          <w:lang w:val="en-US"/>
        </w:rPr>
      </w:pPr>
      <w:r w:rsidRPr="00E837F4">
        <w:rPr>
          <w:b/>
          <w:bCs/>
          <w:sz w:val="22"/>
          <w:szCs w:val="22"/>
          <w:lang w:val="en-US"/>
        </w:rPr>
        <w:t xml:space="preserve">II.I. Objectives of the disclosure requirements </w:t>
      </w:r>
    </w:p>
    <w:p w:rsidR="00E16818" w:rsidRPr="00E837F4" w:rsidRDefault="00E16818" w:rsidP="00E16818">
      <w:pPr>
        <w:pStyle w:val="Default"/>
        <w:rPr>
          <w:sz w:val="22"/>
          <w:szCs w:val="22"/>
          <w:lang w:val="en-US"/>
        </w:rPr>
      </w:pPr>
    </w:p>
    <w:p w:rsidR="00E16818" w:rsidRDefault="00E16818" w:rsidP="00E16818">
      <w:pPr>
        <w:pStyle w:val="Default"/>
        <w:numPr>
          <w:ilvl w:val="0"/>
          <w:numId w:val="17"/>
        </w:numPr>
        <w:rPr>
          <w:sz w:val="22"/>
          <w:szCs w:val="22"/>
          <w:lang w:val="en-US"/>
        </w:rPr>
      </w:pPr>
      <w:r w:rsidRPr="00E837F4">
        <w:rPr>
          <w:sz w:val="22"/>
          <w:szCs w:val="22"/>
          <w:lang w:val="en-US"/>
        </w:rPr>
        <w:t xml:space="preserve">Q1: Which </w:t>
      </w:r>
      <w:proofErr w:type="spellStart"/>
      <w:r w:rsidRPr="00E837F4">
        <w:rPr>
          <w:sz w:val="22"/>
          <w:szCs w:val="22"/>
          <w:lang w:val="en-US"/>
        </w:rPr>
        <w:t>categorisation</w:t>
      </w:r>
      <w:proofErr w:type="spellEnd"/>
      <w:r w:rsidRPr="00E837F4">
        <w:rPr>
          <w:sz w:val="22"/>
          <w:szCs w:val="22"/>
          <w:lang w:val="en-US"/>
        </w:rPr>
        <w:t xml:space="preserve"> of SFI asset classes should ESMA apply while developi</w:t>
      </w:r>
      <w:r>
        <w:rPr>
          <w:sz w:val="22"/>
          <w:szCs w:val="22"/>
          <w:lang w:val="en-US"/>
        </w:rPr>
        <w:t>ng the disclosure requirements?</w:t>
      </w:r>
    </w:p>
    <w:p w:rsidR="00E16818" w:rsidRPr="00D205F9" w:rsidRDefault="00E16818" w:rsidP="00E16818">
      <w:pPr>
        <w:pStyle w:val="Default"/>
        <w:numPr>
          <w:ilvl w:val="1"/>
          <w:numId w:val="17"/>
        </w:numPr>
        <w:rPr>
          <w:i/>
          <w:sz w:val="22"/>
          <w:szCs w:val="22"/>
          <w:lang w:val="en-US"/>
        </w:rPr>
      </w:pPr>
      <w:r w:rsidRPr="00D205F9">
        <w:rPr>
          <w:i/>
          <w:sz w:val="22"/>
          <w:szCs w:val="22"/>
          <w:lang w:val="en-US"/>
        </w:rPr>
        <w:t xml:space="preserve">We think that there is a clear convergence of the needs of the Eurosystem and of ESMA in such regard. Thus we propose to start with the list of asset classes used as collateral in monetary policy operations of the Eurosystem adding several asset classes: market value transactions (securitization of wares or financial asset whose flows are based on the market price of such assets), insurance related securitization, or Whole Business </w:t>
      </w:r>
      <w:proofErr w:type="spellStart"/>
      <w:r w:rsidRPr="00D205F9">
        <w:rPr>
          <w:i/>
          <w:sz w:val="22"/>
          <w:szCs w:val="22"/>
          <w:lang w:val="en-US"/>
        </w:rPr>
        <w:t>Securitisation</w:t>
      </w:r>
      <w:proofErr w:type="spellEnd"/>
      <w:r w:rsidRPr="00D205F9">
        <w:rPr>
          <w:i/>
          <w:sz w:val="22"/>
          <w:szCs w:val="22"/>
          <w:lang w:val="en-US"/>
        </w:rPr>
        <w:t>. We have also discussed the opportunity of adding single tranche CDOs, but we would prefer to exclude such type</w:t>
      </w:r>
      <w:r>
        <w:rPr>
          <w:i/>
          <w:sz w:val="22"/>
          <w:szCs w:val="22"/>
          <w:lang w:val="en-US"/>
        </w:rPr>
        <w:t>s</w:t>
      </w:r>
      <w:r w:rsidRPr="00D205F9">
        <w:rPr>
          <w:i/>
          <w:sz w:val="22"/>
          <w:szCs w:val="22"/>
          <w:lang w:val="en-US"/>
        </w:rPr>
        <w:t xml:space="preserve"> of transactions, which in our view are not securitization (see below for our proposed definition of a securitization).</w:t>
      </w:r>
    </w:p>
    <w:p w:rsidR="00E16818" w:rsidRDefault="00E16818" w:rsidP="00E16818">
      <w:pPr>
        <w:pStyle w:val="Default"/>
        <w:numPr>
          <w:ilvl w:val="1"/>
          <w:numId w:val="17"/>
        </w:numPr>
        <w:rPr>
          <w:i/>
          <w:sz w:val="22"/>
          <w:szCs w:val="22"/>
          <w:lang w:val="en-US"/>
        </w:rPr>
      </w:pPr>
      <w:r w:rsidRPr="00D205F9">
        <w:rPr>
          <w:i/>
          <w:sz w:val="22"/>
          <w:szCs w:val="22"/>
          <w:lang w:val="en-US"/>
        </w:rPr>
        <w:t>By market value transaction, we mean either CFO (</w:t>
      </w:r>
      <w:proofErr w:type="spellStart"/>
      <w:r w:rsidRPr="00D205F9">
        <w:rPr>
          <w:i/>
          <w:sz w:val="22"/>
          <w:szCs w:val="22"/>
          <w:lang w:val="en-US"/>
        </w:rPr>
        <w:t>Collateralised</w:t>
      </w:r>
      <w:proofErr w:type="spellEnd"/>
      <w:r w:rsidRPr="00D205F9">
        <w:rPr>
          <w:i/>
          <w:sz w:val="22"/>
          <w:szCs w:val="22"/>
          <w:lang w:val="en-US"/>
        </w:rPr>
        <w:t xml:space="preserve"> Fund Obligations) or transaction whose collateral is a physical commodity (diamonds, champagne).</w:t>
      </w:r>
      <w:r>
        <w:rPr>
          <w:i/>
          <w:sz w:val="22"/>
          <w:szCs w:val="22"/>
          <w:lang w:val="en-US"/>
        </w:rPr>
        <w:t xml:space="preserve"> </w:t>
      </w:r>
      <w:r w:rsidRPr="00D205F9">
        <w:rPr>
          <w:i/>
          <w:sz w:val="22"/>
          <w:szCs w:val="22"/>
          <w:lang w:val="en-US"/>
        </w:rPr>
        <w:t>Even if those additional transactions are not large in volume, we do not see reasons to exclude them from our scope.</w:t>
      </w:r>
    </w:p>
    <w:p w:rsidR="00E16818" w:rsidRPr="00D205F9" w:rsidRDefault="00E16818" w:rsidP="00E16818">
      <w:pPr>
        <w:pStyle w:val="Default"/>
        <w:ind w:left="1080"/>
        <w:rPr>
          <w:i/>
          <w:sz w:val="22"/>
          <w:szCs w:val="22"/>
          <w:lang w:val="en-US"/>
        </w:rPr>
      </w:pPr>
    </w:p>
    <w:p w:rsidR="00E16818" w:rsidRDefault="00E16818" w:rsidP="00E16818">
      <w:pPr>
        <w:pStyle w:val="Default"/>
        <w:numPr>
          <w:ilvl w:val="0"/>
          <w:numId w:val="17"/>
        </w:numPr>
        <w:rPr>
          <w:sz w:val="22"/>
          <w:szCs w:val="22"/>
          <w:lang w:val="en-US"/>
        </w:rPr>
      </w:pPr>
      <w:r w:rsidRPr="00E837F4">
        <w:rPr>
          <w:sz w:val="22"/>
          <w:szCs w:val="22"/>
          <w:lang w:val="en-US"/>
        </w:rPr>
        <w:t>Q2: In light of paragraph 13, do you consider that the scope of Article 8(b) should be limited to those SFIs which are covered by the Prospectus Directive and Transparency Directive, or that its scope should not be limited to those Directives and should c</w:t>
      </w:r>
      <w:r>
        <w:rPr>
          <w:sz w:val="22"/>
          <w:szCs w:val="22"/>
          <w:lang w:val="en-US"/>
        </w:rPr>
        <w:t>over all SFIs traded in the EU?</w:t>
      </w:r>
    </w:p>
    <w:p w:rsidR="00E16818" w:rsidRDefault="00E16818" w:rsidP="00E16818">
      <w:pPr>
        <w:pStyle w:val="Default"/>
        <w:numPr>
          <w:ilvl w:val="1"/>
          <w:numId w:val="17"/>
        </w:numPr>
        <w:rPr>
          <w:i/>
          <w:sz w:val="22"/>
          <w:szCs w:val="22"/>
          <w:lang w:val="en-US"/>
        </w:rPr>
      </w:pPr>
      <w:r w:rsidRPr="00D205F9">
        <w:rPr>
          <w:i/>
          <w:sz w:val="22"/>
          <w:szCs w:val="22"/>
          <w:lang w:val="en-US"/>
        </w:rPr>
        <w:t>We would encompass all SFIs trading in the EU. Indeed the issuing country for SFI does not bear any link with the collateral nor the investors. However we understand there are limits to the range of SFIs covered, e.g. the public nature of a transaction will be a necessary condition for its potential assessment by investors.</w:t>
      </w:r>
    </w:p>
    <w:p w:rsidR="00E16818" w:rsidRPr="00D205F9" w:rsidRDefault="00E16818" w:rsidP="00E16818">
      <w:pPr>
        <w:pStyle w:val="Default"/>
        <w:ind w:left="1440"/>
        <w:rPr>
          <w:i/>
          <w:sz w:val="22"/>
          <w:szCs w:val="22"/>
          <w:lang w:val="en-US"/>
        </w:rPr>
      </w:pPr>
    </w:p>
    <w:p w:rsidR="00E16818" w:rsidRDefault="00E16818" w:rsidP="00E16818">
      <w:pPr>
        <w:pStyle w:val="Default"/>
        <w:numPr>
          <w:ilvl w:val="0"/>
          <w:numId w:val="17"/>
        </w:numPr>
        <w:rPr>
          <w:sz w:val="22"/>
          <w:szCs w:val="22"/>
          <w:lang w:val="en-US"/>
        </w:rPr>
      </w:pPr>
      <w:r w:rsidRPr="00E837F4">
        <w:rPr>
          <w:sz w:val="22"/>
          <w:szCs w:val="22"/>
          <w:lang w:val="en-US"/>
        </w:rPr>
        <w:t>Q3: Do you consider that assets underlying SFIs composed of mixed pools should be disclosed as part of a specific cat</w:t>
      </w:r>
      <w:r>
        <w:rPr>
          <w:sz w:val="22"/>
          <w:szCs w:val="22"/>
          <w:lang w:val="en-US"/>
        </w:rPr>
        <w:t>egory? If so, please elaborate.</w:t>
      </w:r>
    </w:p>
    <w:p w:rsidR="00E16818" w:rsidRDefault="00E16818" w:rsidP="00E16818">
      <w:pPr>
        <w:pStyle w:val="Default"/>
        <w:numPr>
          <w:ilvl w:val="0"/>
          <w:numId w:val="19"/>
        </w:numPr>
        <w:rPr>
          <w:i/>
          <w:sz w:val="22"/>
          <w:szCs w:val="22"/>
          <w:lang w:val="en-US"/>
        </w:rPr>
      </w:pPr>
      <w:r w:rsidRPr="003C1167">
        <w:rPr>
          <w:i/>
          <w:sz w:val="22"/>
          <w:szCs w:val="22"/>
          <w:lang w:val="en-US"/>
        </w:rPr>
        <w:t xml:space="preserve">In our opinion, mixed pools are obfuscating the risk/price analysis of securities. </w:t>
      </w:r>
      <w:r>
        <w:rPr>
          <w:i/>
          <w:sz w:val="22"/>
          <w:szCs w:val="22"/>
          <w:lang w:val="en-US"/>
        </w:rPr>
        <w:t xml:space="preserve">We would prefer to avoid such </w:t>
      </w:r>
      <w:proofErr w:type="gramStart"/>
      <w:r>
        <w:rPr>
          <w:i/>
          <w:sz w:val="22"/>
          <w:szCs w:val="22"/>
          <w:lang w:val="en-US"/>
        </w:rPr>
        <w:t>securities,</w:t>
      </w:r>
      <w:proofErr w:type="gramEnd"/>
      <w:r>
        <w:rPr>
          <w:i/>
          <w:sz w:val="22"/>
          <w:szCs w:val="22"/>
          <w:lang w:val="en-US"/>
        </w:rPr>
        <w:t xml:space="preserve"> however we understand too well the need for their close analysis. Thus they will need to be disclosed as a specific category.</w:t>
      </w:r>
    </w:p>
    <w:p w:rsidR="00E16818" w:rsidRPr="003C1167" w:rsidRDefault="00E16818" w:rsidP="00E16818">
      <w:pPr>
        <w:pStyle w:val="Default"/>
        <w:ind w:left="720"/>
        <w:rPr>
          <w:i/>
          <w:sz w:val="22"/>
          <w:szCs w:val="22"/>
          <w:lang w:val="en-US"/>
        </w:rPr>
      </w:pPr>
    </w:p>
    <w:p w:rsidR="00E16818" w:rsidRDefault="00E16818" w:rsidP="00E16818">
      <w:pPr>
        <w:pStyle w:val="Default"/>
        <w:numPr>
          <w:ilvl w:val="0"/>
          <w:numId w:val="17"/>
        </w:numPr>
        <w:rPr>
          <w:sz w:val="22"/>
          <w:szCs w:val="22"/>
          <w:lang w:val="en-US"/>
        </w:rPr>
      </w:pPr>
      <w:r w:rsidRPr="003C1167">
        <w:rPr>
          <w:sz w:val="22"/>
          <w:szCs w:val="22"/>
          <w:lang w:val="en-US"/>
        </w:rPr>
        <w:t xml:space="preserve">Q4: To which </w:t>
      </w:r>
      <w:proofErr w:type="spellStart"/>
      <w:r w:rsidRPr="003C1167">
        <w:rPr>
          <w:sz w:val="22"/>
          <w:szCs w:val="22"/>
          <w:lang w:val="en-US"/>
        </w:rPr>
        <w:t>tranching</w:t>
      </w:r>
      <w:proofErr w:type="spellEnd"/>
      <w:r w:rsidRPr="003C1167">
        <w:rPr>
          <w:sz w:val="22"/>
          <w:szCs w:val="22"/>
          <w:lang w:val="en-US"/>
        </w:rPr>
        <w:t xml:space="preserve"> mechanisms should the disclosure requirements be applied? (</w:t>
      </w:r>
      <w:proofErr w:type="gramStart"/>
      <w:r w:rsidRPr="003C1167">
        <w:rPr>
          <w:sz w:val="22"/>
          <w:szCs w:val="22"/>
          <w:lang w:val="en-US"/>
        </w:rPr>
        <w:t>e.g</w:t>
      </w:r>
      <w:proofErr w:type="gramEnd"/>
      <w:r w:rsidRPr="003C1167">
        <w:rPr>
          <w:sz w:val="22"/>
          <w:szCs w:val="22"/>
          <w:lang w:val="en-US"/>
        </w:rPr>
        <w:t xml:space="preserve">. single-tranche transactions?) </w:t>
      </w:r>
    </w:p>
    <w:p w:rsidR="00E16818" w:rsidRDefault="00E16818" w:rsidP="00E16818">
      <w:pPr>
        <w:pStyle w:val="Default"/>
        <w:numPr>
          <w:ilvl w:val="1"/>
          <w:numId w:val="17"/>
        </w:numPr>
        <w:rPr>
          <w:i/>
          <w:sz w:val="22"/>
          <w:szCs w:val="22"/>
          <w:lang w:val="en-US"/>
        </w:rPr>
      </w:pPr>
      <w:r w:rsidRPr="007C4439">
        <w:rPr>
          <w:i/>
          <w:sz w:val="22"/>
          <w:szCs w:val="22"/>
          <w:lang w:val="en-US"/>
        </w:rPr>
        <w:t>In our analysis, we rely primarily on an assessment of the collateral pool risks. T</w:t>
      </w:r>
      <w:r w:rsidR="00231427">
        <w:rPr>
          <w:i/>
          <w:sz w:val="22"/>
          <w:szCs w:val="22"/>
          <w:lang w:val="en-US"/>
        </w:rPr>
        <w:t xml:space="preserve">he </w:t>
      </w:r>
      <w:proofErr w:type="spellStart"/>
      <w:r w:rsidR="00231427">
        <w:rPr>
          <w:i/>
          <w:sz w:val="22"/>
          <w:szCs w:val="22"/>
          <w:lang w:val="en-US"/>
        </w:rPr>
        <w:t>t</w:t>
      </w:r>
      <w:r w:rsidRPr="007C4439">
        <w:rPr>
          <w:i/>
          <w:sz w:val="22"/>
          <w:szCs w:val="22"/>
          <w:lang w:val="en-US"/>
        </w:rPr>
        <w:t>ranching</w:t>
      </w:r>
      <w:proofErr w:type="spellEnd"/>
      <w:r w:rsidRPr="007C4439">
        <w:rPr>
          <w:i/>
          <w:sz w:val="22"/>
          <w:szCs w:val="22"/>
          <w:lang w:val="en-US"/>
        </w:rPr>
        <w:t xml:space="preserve"> mechanism is always a second step in our approach but this is not the primary driver of the analysis. </w:t>
      </w:r>
      <w:r>
        <w:rPr>
          <w:i/>
          <w:sz w:val="22"/>
          <w:szCs w:val="22"/>
          <w:lang w:val="en-US"/>
        </w:rPr>
        <w:t xml:space="preserve">However the </w:t>
      </w:r>
      <w:proofErr w:type="spellStart"/>
      <w:r>
        <w:rPr>
          <w:i/>
          <w:sz w:val="22"/>
          <w:szCs w:val="22"/>
          <w:lang w:val="en-US"/>
        </w:rPr>
        <w:t>tranching</w:t>
      </w:r>
      <w:proofErr w:type="spellEnd"/>
      <w:r>
        <w:rPr>
          <w:i/>
          <w:sz w:val="22"/>
          <w:szCs w:val="22"/>
          <w:lang w:val="en-US"/>
        </w:rPr>
        <w:t xml:space="preserve"> mechanism needs to be </w:t>
      </w:r>
      <w:r w:rsidRPr="00D50BC3">
        <w:rPr>
          <w:i/>
          <w:sz w:val="22"/>
          <w:szCs w:val="22"/>
          <w:u w:val="single"/>
          <w:lang w:val="en-US"/>
        </w:rPr>
        <w:t>always</w:t>
      </w:r>
      <w:r>
        <w:rPr>
          <w:i/>
          <w:sz w:val="22"/>
          <w:szCs w:val="22"/>
          <w:lang w:val="en-US"/>
        </w:rPr>
        <w:t xml:space="preserve"> clearly described in all its details: this is a prerequisite. To the most complex subordination structure should be associated the most detailed and exhaustive requirements. </w:t>
      </w:r>
      <w:r w:rsidRPr="007C4439">
        <w:rPr>
          <w:i/>
          <w:sz w:val="22"/>
          <w:szCs w:val="22"/>
          <w:lang w:val="en-US"/>
        </w:rPr>
        <w:t>A securitization is mainly characterized by the segregated nature of the assets and the limited recourse to the underlying assets.</w:t>
      </w:r>
      <w:r>
        <w:rPr>
          <w:i/>
          <w:sz w:val="22"/>
          <w:szCs w:val="22"/>
          <w:lang w:val="en-US"/>
        </w:rPr>
        <w:t xml:space="preserve"> Dual recourse transactions (recourse to the assets and to the originator) are not securitization in our view.</w:t>
      </w:r>
    </w:p>
    <w:p w:rsidR="00E16818" w:rsidRDefault="00E16818" w:rsidP="00E16818">
      <w:pPr>
        <w:pStyle w:val="Default"/>
        <w:ind w:left="1440"/>
        <w:rPr>
          <w:i/>
          <w:sz w:val="22"/>
          <w:szCs w:val="22"/>
          <w:lang w:val="en-US"/>
        </w:rPr>
      </w:pPr>
    </w:p>
    <w:p w:rsidR="00E16818" w:rsidRDefault="00E16818" w:rsidP="00E16818">
      <w:pPr>
        <w:pStyle w:val="Default"/>
        <w:numPr>
          <w:ilvl w:val="0"/>
          <w:numId w:val="17"/>
        </w:numPr>
        <w:rPr>
          <w:sz w:val="22"/>
          <w:szCs w:val="22"/>
          <w:lang w:val="en-US"/>
        </w:rPr>
      </w:pPr>
      <w:r w:rsidRPr="007C4439">
        <w:rPr>
          <w:sz w:val="22"/>
          <w:szCs w:val="22"/>
          <w:lang w:val="en-US"/>
        </w:rPr>
        <w:t xml:space="preserve">Q5: Do you have any other comments on the </w:t>
      </w:r>
      <w:proofErr w:type="spellStart"/>
      <w:r w:rsidRPr="007C4439">
        <w:rPr>
          <w:sz w:val="22"/>
          <w:szCs w:val="22"/>
          <w:lang w:val="en-US"/>
        </w:rPr>
        <w:t>categorisation</w:t>
      </w:r>
      <w:proofErr w:type="spellEnd"/>
      <w:r w:rsidRPr="007C4439">
        <w:rPr>
          <w:sz w:val="22"/>
          <w:szCs w:val="22"/>
          <w:lang w:val="en-US"/>
        </w:rPr>
        <w:t xml:space="preserve"> of SFIs?</w:t>
      </w:r>
    </w:p>
    <w:p w:rsidR="00E16818" w:rsidRPr="00E837F4" w:rsidRDefault="00E16818" w:rsidP="00E16818">
      <w:pPr>
        <w:pStyle w:val="Default"/>
        <w:rPr>
          <w:sz w:val="22"/>
          <w:szCs w:val="22"/>
          <w:lang w:val="en-US"/>
        </w:rPr>
      </w:pPr>
    </w:p>
    <w:p w:rsidR="00E16818" w:rsidRPr="00E837F4" w:rsidRDefault="00E16818" w:rsidP="00E16818">
      <w:pPr>
        <w:pStyle w:val="Default"/>
        <w:rPr>
          <w:sz w:val="22"/>
          <w:szCs w:val="22"/>
          <w:lang w:val="en-US"/>
        </w:rPr>
      </w:pPr>
      <w:r w:rsidRPr="00E837F4">
        <w:rPr>
          <w:b/>
          <w:bCs/>
          <w:sz w:val="22"/>
          <w:szCs w:val="22"/>
          <w:lang w:val="en-US"/>
        </w:rPr>
        <w:t xml:space="preserve">II.II. Content of the information </w:t>
      </w:r>
    </w:p>
    <w:p w:rsidR="00E16818" w:rsidRDefault="00E16818" w:rsidP="00E16818">
      <w:pPr>
        <w:pStyle w:val="Default"/>
        <w:numPr>
          <w:ilvl w:val="0"/>
          <w:numId w:val="18"/>
        </w:numPr>
        <w:rPr>
          <w:sz w:val="22"/>
          <w:szCs w:val="22"/>
          <w:lang w:val="en-US"/>
        </w:rPr>
      </w:pPr>
      <w:r w:rsidRPr="00E837F4">
        <w:rPr>
          <w:sz w:val="22"/>
          <w:szCs w:val="22"/>
          <w:lang w:val="en-US"/>
        </w:rPr>
        <w:t>Q6: In your view, which information is required to ensure a mea</w:t>
      </w:r>
      <w:r>
        <w:rPr>
          <w:sz w:val="22"/>
          <w:szCs w:val="22"/>
          <w:lang w:val="en-US"/>
        </w:rPr>
        <w:t>ningful description of the SFI?</w:t>
      </w:r>
    </w:p>
    <w:p w:rsidR="00E16818" w:rsidRDefault="00E16818" w:rsidP="00E16818">
      <w:pPr>
        <w:pStyle w:val="Default"/>
        <w:numPr>
          <w:ilvl w:val="1"/>
          <w:numId w:val="18"/>
        </w:numPr>
        <w:rPr>
          <w:i/>
          <w:sz w:val="22"/>
          <w:szCs w:val="22"/>
          <w:lang w:val="en-US"/>
        </w:rPr>
      </w:pPr>
      <w:r w:rsidRPr="00615463">
        <w:rPr>
          <w:i/>
          <w:sz w:val="22"/>
          <w:szCs w:val="22"/>
          <w:lang w:val="en-US"/>
        </w:rPr>
        <w:t>In addition to the description of the collateral on a loan-by loan basis, the documentation of the transaction is necessary, at a minimum the prospectus</w:t>
      </w:r>
      <w:r>
        <w:rPr>
          <w:i/>
          <w:sz w:val="22"/>
          <w:szCs w:val="22"/>
          <w:lang w:val="en-US"/>
        </w:rPr>
        <w:t>/offering circular</w:t>
      </w:r>
      <w:r w:rsidRPr="00615463">
        <w:rPr>
          <w:i/>
          <w:sz w:val="22"/>
          <w:szCs w:val="22"/>
          <w:lang w:val="en-US"/>
        </w:rPr>
        <w:t xml:space="preserve"> but in certain cases that may not be sufficient, other key contracts (sale/transfer agreements, </w:t>
      </w:r>
      <w:r>
        <w:rPr>
          <w:i/>
          <w:sz w:val="22"/>
          <w:szCs w:val="22"/>
          <w:lang w:val="en-US"/>
        </w:rPr>
        <w:t xml:space="preserve">servicing agreement, </w:t>
      </w:r>
      <w:proofErr w:type="gramStart"/>
      <w:r w:rsidRPr="00615463">
        <w:rPr>
          <w:i/>
          <w:sz w:val="22"/>
          <w:szCs w:val="22"/>
          <w:lang w:val="en-US"/>
        </w:rPr>
        <w:t>management</w:t>
      </w:r>
      <w:proofErr w:type="gramEnd"/>
      <w:r w:rsidRPr="00615463">
        <w:rPr>
          <w:i/>
          <w:sz w:val="22"/>
          <w:szCs w:val="22"/>
          <w:lang w:val="en-US"/>
        </w:rPr>
        <w:t xml:space="preserve"> agreement) may need to be disclosed.</w:t>
      </w:r>
    </w:p>
    <w:p w:rsidR="00E16818" w:rsidRDefault="00E16818" w:rsidP="00E16818">
      <w:pPr>
        <w:pStyle w:val="Default"/>
        <w:numPr>
          <w:ilvl w:val="1"/>
          <w:numId w:val="18"/>
        </w:numPr>
        <w:rPr>
          <w:i/>
          <w:sz w:val="22"/>
          <w:szCs w:val="22"/>
          <w:lang w:val="en-US"/>
        </w:rPr>
      </w:pPr>
      <w:r>
        <w:rPr>
          <w:i/>
          <w:sz w:val="22"/>
          <w:szCs w:val="22"/>
          <w:lang w:val="en-US"/>
        </w:rPr>
        <w:t xml:space="preserve">We assume that the prospectus contains a clear description of the structure (including </w:t>
      </w:r>
      <w:proofErr w:type="spellStart"/>
      <w:r>
        <w:rPr>
          <w:i/>
          <w:sz w:val="22"/>
          <w:szCs w:val="22"/>
          <w:lang w:val="en-US"/>
        </w:rPr>
        <w:t>tranching</w:t>
      </w:r>
      <w:proofErr w:type="spellEnd"/>
      <w:r>
        <w:rPr>
          <w:i/>
          <w:sz w:val="22"/>
          <w:szCs w:val="22"/>
          <w:lang w:val="en-US"/>
        </w:rPr>
        <w:t>/subordination mechanism), its objectives for the sponsor, and a description of the operations (role of each and every party to the transaction).</w:t>
      </w:r>
    </w:p>
    <w:p w:rsidR="00E16818" w:rsidRPr="00615463" w:rsidRDefault="00E16818" w:rsidP="00E16818">
      <w:pPr>
        <w:pStyle w:val="Default"/>
        <w:ind w:left="1440"/>
        <w:rPr>
          <w:i/>
          <w:sz w:val="22"/>
          <w:szCs w:val="22"/>
          <w:lang w:val="en-US"/>
        </w:rPr>
      </w:pPr>
    </w:p>
    <w:p w:rsidR="00E16818" w:rsidRDefault="00E16818" w:rsidP="00E16818">
      <w:pPr>
        <w:pStyle w:val="Default"/>
        <w:numPr>
          <w:ilvl w:val="0"/>
          <w:numId w:val="18"/>
        </w:numPr>
        <w:rPr>
          <w:sz w:val="22"/>
          <w:szCs w:val="22"/>
          <w:lang w:val="en-US"/>
        </w:rPr>
      </w:pPr>
      <w:r w:rsidRPr="00E837F4">
        <w:rPr>
          <w:sz w:val="22"/>
          <w:szCs w:val="22"/>
          <w:lang w:val="en-US"/>
        </w:rPr>
        <w:t>Q7: What kind of indicators/ratio do you think would be necessary</w:t>
      </w:r>
      <w:r>
        <w:rPr>
          <w:sz w:val="22"/>
          <w:szCs w:val="22"/>
          <w:lang w:val="en-US"/>
        </w:rPr>
        <w:t xml:space="preserve"> to better monitor and model</w:t>
      </w:r>
      <w:r w:rsidRPr="00E837F4">
        <w:rPr>
          <w:sz w:val="22"/>
          <w:szCs w:val="22"/>
          <w:lang w:val="en-US"/>
        </w:rPr>
        <w:t xml:space="preserve"> the performance of the underlying assets? Please indicate the relevant indicators for each of the assets categories? </w:t>
      </w:r>
    </w:p>
    <w:p w:rsidR="00E16818" w:rsidRDefault="00E16818" w:rsidP="00E16818">
      <w:pPr>
        <w:pStyle w:val="Default"/>
        <w:numPr>
          <w:ilvl w:val="1"/>
          <w:numId w:val="18"/>
        </w:numPr>
        <w:rPr>
          <w:i/>
          <w:sz w:val="22"/>
          <w:szCs w:val="22"/>
          <w:lang w:val="en-US"/>
        </w:rPr>
      </w:pPr>
      <w:r w:rsidRPr="00615463">
        <w:rPr>
          <w:i/>
          <w:sz w:val="22"/>
          <w:szCs w:val="22"/>
          <w:lang w:val="en-US"/>
        </w:rPr>
        <w:t>In our view indicators are summarizing the full loan-by loan information. Thus a detailed description of pool is sufficient per se.</w:t>
      </w:r>
      <w:r>
        <w:rPr>
          <w:i/>
          <w:sz w:val="22"/>
          <w:szCs w:val="22"/>
          <w:lang w:val="en-US"/>
        </w:rPr>
        <w:t xml:space="preserve"> The </w:t>
      </w:r>
      <w:r w:rsidR="00231427">
        <w:rPr>
          <w:i/>
          <w:sz w:val="22"/>
          <w:szCs w:val="22"/>
          <w:lang w:val="en-US"/>
        </w:rPr>
        <w:t>preferable option is to have</w:t>
      </w:r>
      <w:r>
        <w:rPr>
          <w:i/>
          <w:sz w:val="22"/>
          <w:szCs w:val="22"/>
          <w:lang w:val="en-US"/>
        </w:rPr>
        <w:t xml:space="preserve"> loan-by-loan information where arrears status is given for each loan.</w:t>
      </w:r>
    </w:p>
    <w:p w:rsidR="00E16818" w:rsidRDefault="00E16818" w:rsidP="00E16818">
      <w:pPr>
        <w:pStyle w:val="Default"/>
        <w:numPr>
          <w:ilvl w:val="1"/>
          <w:numId w:val="18"/>
        </w:numPr>
        <w:rPr>
          <w:i/>
          <w:sz w:val="22"/>
          <w:szCs w:val="22"/>
          <w:lang w:val="en-US"/>
        </w:rPr>
      </w:pPr>
      <w:r w:rsidRPr="00615463">
        <w:rPr>
          <w:i/>
          <w:sz w:val="22"/>
          <w:szCs w:val="22"/>
          <w:lang w:val="en-US"/>
        </w:rPr>
        <w:t xml:space="preserve"> However if such detailed data </w:t>
      </w:r>
      <w:r w:rsidR="00231427">
        <w:rPr>
          <w:i/>
          <w:sz w:val="22"/>
          <w:szCs w:val="22"/>
          <w:lang w:val="en-US"/>
        </w:rPr>
        <w:t>are</w:t>
      </w:r>
      <w:r w:rsidR="00231427" w:rsidRPr="00615463">
        <w:rPr>
          <w:i/>
          <w:sz w:val="22"/>
          <w:szCs w:val="22"/>
          <w:lang w:val="en-US"/>
        </w:rPr>
        <w:t xml:space="preserve"> </w:t>
      </w:r>
      <w:r w:rsidRPr="00615463">
        <w:rPr>
          <w:i/>
          <w:sz w:val="22"/>
          <w:szCs w:val="22"/>
          <w:lang w:val="en-US"/>
        </w:rPr>
        <w:t>not available, then indicators of delinquencies and prepayment (for debt securitization) are a minimum. In case of a market-value transaction, the relevant indicator is the market value of the collateral.</w:t>
      </w:r>
    </w:p>
    <w:p w:rsidR="00E16818" w:rsidRDefault="00E16818" w:rsidP="00E16818">
      <w:pPr>
        <w:pStyle w:val="Default"/>
        <w:ind w:left="1440"/>
        <w:rPr>
          <w:i/>
          <w:sz w:val="22"/>
          <w:szCs w:val="22"/>
          <w:lang w:val="en-US"/>
        </w:rPr>
      </w:pPr>
    </w:p>
    <w:p w:rsidR="00E16818" w:rsidRPr="00615463" w:rsidRDefault="00E16818" w:rsidP="00E16818">
      <w:pPr>
        <w:pStyle w:val="Default"/>
        <w:ind w:left="1440"/>
        <w:rPr>
          <w:i/>
          <w:sz w:val="22"/>
          <w:szCs w:val="22"/>
          <w:lang w:val="en-US"/>
        </w:rPr>
      </w:pPr>
    </w:p>
    <w:p w:rsidR="00E16818" w:rsidRDefault="00E16818" w:rsidP="00E16818">
      <w:pPr>
        <w:pStyle w:val="Default"/>
        <w:numPr>
          <w:ilvl w:val="0"/>
          <w:numId w:val="18"/>
        </w:numPr>
        <w:rPr>
          <w:sz w:val="22"/>
          <w:szCs w:val="22"/>
          <w:lang w:val="en-US"/>
        </w:rPr>
      </w:pPr>
      <w:r w:rsidRPr="00E837F4">
        <w:rPr>
          <w:sz w:val="22"/>
          <w:szCs w:val="22"/>
          <w:lang w:val="en-US"/>
        </w:rPr>
        <w:t>Q8: For which category of SFIs should the disclosure requirements be adapted (e.g. where the underlying assets backing the SFIs are poorly granular)?</w:t>
      </w:r>
    </w:p>
    <w:p w:rsidR="00E16818" w:rsidRDefault="00E16818" w:rsidP="00E16818">
      <w:pPr>
        <w:pStyle w:val="Default"/>
        <w:numPr>
          <w:ilvl w:val="1"/>
          <w:numId w:val="18"/>
        </w:numPr>
        <w:rPr>
          <w:i/>
          <w:sz w:val="22"/>
          <w:szCs w:val="22"/>
          <w:lang w:val="en-US"/>
        </w:rPr>
      </w:pPr>
      <w:r w:rsidRPr="00615463">
        <w:rPr>
          <w:i/>
          <w:sz w:val="22"/>
          <w:szCs w:val="22"/>
          <w:lang w:val="en-US"/>
        </w:rPr>
        <w:t>Indicators are only valid for a non-granular portfolio. If a portfolio contains less than 100 assets, loan-by-loan</w:t>
      </w:r>
      <w:r>
        <w:rPr>
          <w:i/>
          <w:sz w:val="22"/>
          <w:szCs w:val="22"/>
          <w:lang w:val="en-US"/>
        </w:rPr>
        <w:t xml:space="preserve"> detailed</w:t>
      </w:r>
      <w:r w:rsidRPr="00615463">
        <w:rPr>
          <w:i/>
          <w:sz w:val="22"/>
          <w:szCs w:val="22"/>
          <w:lang w:val="en-US"/>
        </w:rPr>
        <w:t xml:space="preserve"> information is a </w:t>
      </w:r>
      <w:r>
        <w:rPr>
          <w:i/>
          <w:sz w:val="22"/>
          <w:szCs w:val="22"/>
          <w:lang w:val="en-US"/>
        </w:rPr>
        <w:t>pre-requisite</w:t>
      </w:r>
      <w:r w:rsidRPr="00615463">
        <w:rPr>
          <w:i/>
          <w:sz w:val="22"/>
          <w:szCs w:val="22"/>
          <w:lang w:val="en-US"/>
        </w:rPr>
        <w:t xml:space="preserve">. Naturally, disclosure requirements need to be adapted to the nature of the securitization (Debt </w:t>
      </w:r>
      <w:proofErr w:type="spellStart"/>
      <w:r w:rsidRPr="00615463">
        <w:rPr>
          <w:i/>
          <w:sz w:val="22"/>
          <w:szCs w:val="22"/>
          <w:lang w:val="en-US"/>
        </w:rPr>
        <w:t>vs</w:t>
      </w:r>
      <w:proofErr w:type="spellEnd"/>
      <w:r w:rsidRPr="00615463">
        <w:rPr>
          <w:i/>
          <w:sz w:val="22"/>
          <w:szCs w:val="22"/>
          <w:lang w:val="en-US"/>
        </w:rPr>
        <w:t xml:space="preserve"> Market-Value </w:t>
      </w:r>
      <w:proofErr w:type="spellStart"/>
      <w:r w:rsidRPr="00615463">
        <w:rPr>
          <w:i/>
          <w:sz w:val="22"/>
          <w:szCs w:val="22"/>
          <w:lang w:val="en-US"/>
        </w:rPr>
        <w:t>vs</w:t>
      </w:r>
      <w:proofErr w:type="spellEnd"/>
      <w:r w:rsidRPr="00615463">
        <w:rPr>
          <w:i/>
          <w:sz w:val="22"/>
          <w:szCs w:val="22"/>
          <w:lang w:val="en-US"/>
        </w:rPr>
        <w:t xml:space="preserve"> Insurance-related).</w:t>
      </w:r>
      <w:r>
        <w:rPr>
          <w:i/>
          <w:sz w:val="22"/>
          <w:szCs w:val="22"/>
          <w:lang w:val="en-US"/>
        </w:rPr>
        <w:t xml:space="preserve"> Specific templates depending on the type of assets.</w:t>
      </w:r>
    </w:p>
    <w:p w:rsidR="00E16818" w:rsidRPr="00615463" w:rsidRDefault="00E16818" w:rsidP="00E16818">
      <w:pPr>
        <w:pStyle w:val="Default"/>
        <w:ind w:left="1440"/>
        <w:rPr>
          <w:i/>
          <w:sz w:val="22"/>
          <w:szCs w:val="22"/>
          <w:lang w:val="en-US"/>
        </w:rPr>
      </w:pPr>
    </w:p>
    <w:p w:rsidR="00E16818" w:rsidRDefault="00E16818" w:rsidP="00E16818">
      <w:pPr>
        <w:pStyle w:val="Default"/>
        <w:numPr>
          <w:ilvl w:val="0"/>
          <w:numId w:val="18"/>
        </w:numPr>
        <w:rPr>
          <w:sz w:val="22"/>
          <w:szCs w:val="22"/>
          <w:lang w:val="en-US"/>
        </w:rPr>
      </w:pPr>
      <w:r w:rsidRPr="00E837F4">
        <w:rPr>
          <w:sz w:val="22"/>
          <w:szCs w:val="22"/>
          <w:lang w:val="en-US"/>
        </w:rPr>
        <w:t>Q9: Do you have any other comments on the content of information to be disclosed?</w:t>
      </w:r>
    </w:p>
    <w:p w:rsidR="00E16818" w:rsidRPr="009E11FA" w:rsidRDefault="00E16818" w:rsidP="00E16818">
      <w:pPr>
        <w:pStyle w:val="Default"/>
        <w:rPr>
          <w:bCs/>
          <w:i/>
          <w:sz w:val="22"/>
          <w:szCs w:val="22"/>
          <w:lang w:val="en-US"/>
        </w:rPr>
      </w:pPr>
    </w:p>
    <w:p w:rsidR="00E16818" w:rsidRPr="00E837F4" w:rsidRDefault="00E16818" w:rsidP="00E16818">
      <w:pPr>
        <w:pStyle w:val="Default"/>
        <w:rPr>
          <w:sz w:val="22"/>
          <w:szCs w:val="22"/>
          <w:lang w:val="en-US"/>
        </w:rPr>
      </w:pPr>
      <w:r w:rsidRPr="00E837F4">
        <w:rPr>
          <w:b/>
          <w:bCs/>
          <w:sz w:val="22"/>
          <w:szCs w:val="22"/>
          <w:lang w:val="en-US"/>
        </w:rPr>
        <w:t xml:space="preserve">II.III. Frequency and standardization of the information </w:t>
      </w:r>
    </w:p>
    <w:p w:rsidR="00E16818" w:rsidRDefault="00E16818" w:rsidP="00E16818">
      <w:pPr>
        <w:pStyle w:val="Default"/>
        <w:numPr>
          <w:ilvl w:val="0"/>
          <w:numId w:val="17"/>
        </w:numPr>
        <w:rPr>
          <w:sz w:val="22"/>
          <w:szCs w:val="22"/>
          <w:lang w:val="en-US"/>
        </w:rPr>
      </w:pPr>
      <w:r w:rsidRPr="00E837F4">
        <w:rPr>
          <w:sz w:val="22"/>
          <w:szCs w:val="22"/>
          <w:lang w:val="en-US"/>
        </w:rPr>
        <w:t xml:space="preserve">Q10: Do you have any comments on the alternative approaches outlined above (i.e. “event based” vs. periodic disclosure or a mix of both) regarding </w:t>
      </w:r>
      <w:r>
        <w:rPr>
          <w:sz w:val="22"/>
          <w:szCs w:val="22"/>
          <w:lang w:val="en-US"/>
        </w:rPr>
        <w:t>the frequency of the reporting?</w:t>
      </w:r>
    </w:p>
    <w:p w:rsidR="00E16818" w:rsidRPr="00D876BD" w:rsidRDefault="00E16818" w:rsidP="00E16818">
      <w:pPr>
        <w:pStyle w:val="Default"/>
        <w:numPr>
          <w:ilvl w:val="1"/>
          <w:numId w:val="17"/>
        </w:numPr>
        <w:rPr>
          <w:i/>
          <w:sz w:val="22"/>
          <w:szCs w:val="22"/>
          <w:lang w:val="en-US"/>
        </w:rPr>
      </w:pPr>
      <w:r w:rsidRPr="00D876BD">
        <w:rPr>
          <w:i/>
          <w:sz w:val="22"/>
          <w:szCs w:val="22"/>
          <w:lang w:val="en-US"/>
        </w:rPr>
        <w:t>We tend to favor periodic disclosure for several reasons:</w:t>
      </w:r>
    </w:p>
    <w:p w:rsidR="00E16818" w:rsidRPr="00D876BD" w:rsidRDefault="00E16818" w:rsidP="00E16818">
      <w:pPr>
        <w:pStyle w:val="Default"/>
        <w:numPr>
          <w:ilvl w:val="2"/>
          <w:numId w:val="17"/>
        </w:numPr>
        <w:rPr>
          <w:i/>
          <w:sz w:val="22"/>
          <w:szCs w:val="22"/>
          <w:lang w:val="en-US"/>
        </w:rPr>
      </w:pPr>
      <w:r w:rsidRPr="00D876BD">
        <w:rPr>
          <w:i/>
          <w:sz w:val="22"/>
          <w:szCs w:val="22"/>
          <w:lang w:val="en-US"/>
        </w:rPr>
        <w:t>There does not appear to be a strong need for very timely information flow for trading purposes as trading of SFIs tends to take time (necessary for the minimum credit assessment).</w:t>
      </w:r>
    </w:p>
    <w:p w:rsidR="00E16818" w:rsidRDefault="00E16818" w:rsidP="00E16818">
      <w:pPr>
        <w:pStyle w:val="Default"/>
        <w:numPr>
          <w:ilvl w:val="2"/>
          <w:numId w:val="17"/>
        </w:numPr>
        <w:rPr>
          <w:i/>
          <w:sz w:val="22"/>
          <w:szCs w:val="22"/>
          <w:lang w:val="en-US"/>
        </w:rPr>
      </w:pPr>
      <w:r w:rsidRPr="00D876BD">
        <w:rPr>
          <w:i/>
          <w:sz w:val="22"/>
          <w:szCs w:val="22"/>
          <w:lang w:val="en-US"/>
        </w:rPr>
        <w:t>However each set of information should have a clear label stating its date/time.</w:t>
      </w:r>
    </w:p>
    <w:p w:rsidR="00E16818" w:rsidRPr="00D876BD" w:rsidRDefault="00E16818" w:rsidP="00E16818">
      <w:pPr>
        <w:pStyle w:val="Default"/>
        <w:numPr>
          <w:ilvl w:val="2"/>
          <w:numId w:val="17"/>
        </w:numPr>
        <w:rPr>
          <w:i/>
          <w:sz w:val="22"/>
          <w:szCs w:val="22"/>
          <w:lang w:val="en-US"/>
        </w:rPr>
      </w:pPr>
      <w:r>
        <w:rPr>
          <w:i/>
          <w:sz w:val="22"/>
          <w:szCs w:val="22"/>
          <w:lang w:val="en-US"/>
        </w:rPr>
        <w:t xml:space="preserve">The frequency of the reporting should be adapted to the publication of the results. </w:t>
      </w:r>
    </w:p>
    <w:p w:rsidR="00E16818" w:rsidRPr="00D876BD" w:rsidRDefault="00E16818" w:rsidP="00E16818">
      <w:pPr>
        <w:pStyle w:val="Default"/>
        <w:numPr>
          <w:ilvl w:val="2"/>
          <w:numId w:val="17"/>
        </w:numPr>
        <w:rPr>
          <w:i/>
          <w:sz w:val="22"/>
          <w:szCs w:val="22"/>
          <w:lang w:val="en-US"/>
        </w:rPr>
      </w:pPr>
      <w:r w:rsidRPr="00D876BD">
        <w:rPr>
          <w:i/>
          <w:sz w:val="22"/>
          <w:szCs w:val="22"/>
          <w:lang w:val="en-US"/>
        </w:rPr>
        <w:t xml:space="preserve">If we want to base the disclosure on “events”, we need to define </w:t>
      </w:r>
      <w:r>
        <w:rPr>
          <w:i/>
          <w:sz w:val="22"/>
          <w:szCs w:val="22"/>
          <w:lang w:val="en-US"/>
        </w:rPr>
        <w:t>them</w:t>
      </w:r>
      <w:r w:rsidRPr="00D876BD">
        <w:rPr>
          <w:i/>
          <w:sz w:val="22"/>
          <w:szCs w:val="22"/>
          <w:lang w:val="en-US"/>
        </w:rPr>
        <w:t xml:space="preserve"> </w:t>
      </w:r>
      <w:r>
        <w:rPr>
          <w:i/>
          <w:sz w:val="22"/>
          <w:szCs w:val="22"/>
          <w:lang w:val="en-US"/>
        </w:rPr>
        <w:t>with the</w:t>
      </w:r>
      <w:r w:rsidRPr="00D876BD">
        <w:rPr>
          <w:i/>
          <w:sz w:val="22"/>
          <w:szCs w:val="22"/>
          <w:lang w:val="en-US"/>
        </w:rPr>
        <w:t xml:space="preserve"> risk </w:t>
      </w:r>
      <w:r>
        <w:rPr>
          <w:i/>
          <w:sz w:val="22"/>
          <w:szCs w:val="22"/>
          <w:lang w:val="en-US"/>
        </w:rPr>
        <w:t xml:space="preserve">to </w:t>
      </w:r>
      <w:r w:rsidRPr="00D876BD">
        <w:rPr>
          <w:i/>
          <w:sz w:val="22"/>
          <w:szCs w:val="22"/>
          <w:lang w:val="en-US"/>
        </w:rPr>
        <w:t>forget some.</w:t>
      </w:r>
    </w:p>
    <w:p w:rsidR="00E16818" w:rsidRDefault="00E16818" w:rsidP="00E16818">
      <w:pPr>
        <w:pStyle w:val="Default"/>
        <w:numPr>
          <w:ilvl w:val="0"/>
          <w:numId w:val="17"/>
        </w:numPr>
        <w:rPr>
          <w:sz w:val="22"/>
          <w:szCs w:val="22"/>
          <w:lang w:val="en-US"/>
        </w:rPr>
      </w:pPr>
      <w:r w:rsidRPr="00E837F4">
        <w:rPr>
          <w:sz w:val="22"/>
          <w:szCs w:val="22"/>
          <w:lang w:val="en-US"/>
        </w:rPr>
        <w:t>Q11: In case of “event-based” approach, what (material) events should trigger a reporting</w:t>
      </w:r>
      <w:r w:rsidRPr="007D2A4E">
        <w:rPr>
          <w:sz w:val="22"/>
          <w:szCs w:val="22"/>
          <w:lang w:val="en-US"/>
        </w:rPr>
        <w:t xml:space="preserve"> </w:t>
      </w:r>
      <w:r w:rsidRPr="00E837F4">
        <w:rPr>
          <w:sz w:val="22"/>
          <w:szCs w:val="22"/>
          <w:lang w:val="en-US"/>
        </w:rPr>
        <w:t>update? In particular, please provide your views on SFI-specific events (e.g. performance of tran</w:t>
      </w:r>
      <w:r>
        <w:rPr>
          <w:sz w:val="22"/>
          <w:szCs w:val="22"/>
          <w:lang w:val="en-US"/>
        </w:rPr>
        <w:t>ches and/or underlying assets)?</w:t>
      </w:r>
    </w:p>
    <w:p w:rsidR="00E16818" w:rsidRDefault="00E16818" w:rsidP="00E16818">
      <w:pPr>
        <w:pStyle w:val="Default"/>
        <w:numPr>
          <w:ilvl w:val="1"/>
          <w:numId w:val="17"/>
        </w:numPr>
        <w:rPr>
          <w:i/>
          <w:sz w:val="22"/>
          <w:szCs w:val="22"/>
          <w:lang w:val="en-US"/>
        </w:rPr>
      </w:pPr>
      <w:r w:rsidRPr="00D50BC3">
        <w:rPr>
          <w:i/>
          <w:sz w:val="22"/>
          <w:szCs w:val="22"/>
          <w:lang w:val="en-US"/>
        </w:rPr>
        <w:t>Any event that could possibly involve a significant change in the risk profile of the security needs to be taken care of.</w:t>
      </w:r>
    </w:p>
    <w:p w:rsidR="00E16818" w:rsidRPr="00D50BC3" w:rsidRDefault="00E16818" w:rsidP="00E16818">
      <w:pPr>
        <w:pStyle w:val="Default"/>
        <w:ind w:left="1440"/>
        <w:rPr>
          <w:i/>
          <w:sz w:val="22"/>
          <w:szCs w:val="22"/>
          <w:lang w:val="en-US"/>
        </w:rPr>
      </w:pPr>
    </w:p>
    <w:p w:rsidR="00E16818" w:rsidRDefault="00E16818" w:rsidP="00E16818">
      <w:pPr>
        <w:pStyle w:val="Default"/>
        <w:numPr>
          <w:ilvl w:val="0"/>
          <w:numId w:val="17"/>
        </w:numPr>
        <w:rPr>
          <w:sz w:val="22"/>
          <w:szCs w:val="22"/>
          <w:lang w:val="en-US"/>
        </w:rPr>
      </w:pPr>
      <w:r w:rsidRPr="00E837F4">
        <w:rPr>
          <w:sz w:val="22"/>
          <w:szCs w:val="22"/>
          <w:lang w:val="en-US"/>
        </w:rPr>
        <w:t>Q12: Should certain market events and thresholds (e.g. volatility, price movements, etc.) be identified ex ante that would trigger a reporting update? If so, please specify.</w:t>
      </w:r>
    </w:p>
    <w:p w:rsidR="00E16818" w:rsidRDefault="00E16818" w:rsidP="00E16818">
      <w:pPr>
        <w:pStyle w:val="Default"/>
        <w:numPr>
          <w:ilvl w:val="1"/>
          <w:numId w:val="17"/>
        </w:numPr>
        <w:rPr>
          <w:i/>
          <w:sz w:val="22"/>
          <w:szCs w:val="22"/>
          <w:lang w:val="en-US"/>
        </w:rPr>
      </w:pPr>
      <w:r w:rsidRPr="00A01EA1">
        <w:rPr>
          <w:i/>
          <w:sz w:val="22"/>
          <w:szCs w:val="22"/>
          <w:lang w:val="en-US"/>
        </w:rPr>
        <w:t xml:space="preserve">It depends both on the retained frequency and on the portfolio’s underlying components. If we retain </w:t>
      </w:r>
      <w:r>
        <w:rPr>
          <w:i/>
          <w:sz w:val="22"/>
          <w:szCs w:val="22"/>
          <w:lang w:val="en-US"/>
        </w:rPr>
        <w:t>3</w:t>
      </w:r>
      <w:r w:rsidRPr="00A01EA1">
        <w:rPr>
          <w:i/>
          <w:sz w:val="22"/>
          <w:szCs w:val="22"/>
          <w:lang w:val="en-US"/>
        </w:rPr>
        <w:t xml:space="preserve"> months for instance (as the ECB), it would be reasonable at least to consider such triggers (but they would be difficult to set for the many types of SFIs, as risk factors vary from a SFI to another). </w:t>
      </w:r>
    </w:p>
    <w:p w:rsidR="00E16818" w:rsidRPr="00A01EA1" w:rsidRDefault="00E16818" w:rsidP="00E16818">
      <w:pPr>
        <w:pStyle w:val="Default"/>
        <w:numPr>
          <w:ilvl w:val="1"/>
          <w:numId w:val="17"/>
        </w:numPr>
        <w:rPr>
          <w:i/>
          <w:sz w:val="22"/>
          <w:szCs w:val="22"/>
          <w:lang w:val="en-US"/>
        </w:rPr>
      </w:pPr>
      <w:r w:rsidRPr="00A01EA1">
        <w:rPr>
          <w:i/>
          <w:sz w:val="22"/>
          <w:szCs w:val="22"/>
          <w:lang w:val="en-US"/>
        </w:rPr>
        <w:t>A modification of the documentation itself should trigger an additional reporting (see e.g. Rating Agency Confirmation).</w:t>
      </w:r>
    </w:p>
    <w:p w:rsidR="00E16818" w:rsidRDefault="00E16818" w:rsidP="00E16818">
      <w:pPr>
        <w:pStyle w:val="Default"/>
        <w:numPr>
          <w:ilvl w:val="1"/>
          <w:numId w:val="17"/>
        </w:numPr>
        <w:rPr>
          <w:i/>
          <w:sz w:val="22"/>
          <w:szCs w:val="22"/>
          <w:lang w:val="en-US"/>
        </w:rPr>
      </w:pPr>
      <w:r>
        <w:rPr>
          <w:i/>
          <w:sz w:val="22"/>
          <w:szCs w:val="22"/>
          <w:lang w:val="en-US"/>
        </w:rPr>
        <w:t xml:space="preserve">Certain extreme market events on the underlying collateral could trigger a reporting update. However such events depend on the nature of the underlying collateral (debts </w:t>
      </w:r>
      <w:proofErr w:type="spellStart"/>
      <w:r>
        <w:rPr>
          <w:i/>
          <w:sz w:val="22"/>
          <w:szCs w:val="22"/>
          <w:lang w:val="en-US"/>
        </w:rPr>
        <w:t>vs</w:t>
      </w:r>
      <w:proofErr w:type="spellEnd"/>
      <w:r>
        <w:rPr>
          <w:i/>
          <w:sz w:val="22"/>
          <w:szCs w:val="22"/>
          <w:lang w:val="en-US"/>
        </w:rPr>
        <w:t xml:space="preserve"> assets) and on the granularity of the portfolio (ex: if </w:t>
      </w:r>
      <w:proofErr w:type="gramStart"/>
      <w:r>
        <w:rPr>
          <w:i/>
          <w:sz w:val="22"/>
          <w:szCs w:val="22"/>
          <w:lang w:val="en-US"/>
        </w:rPr>
        <w:t>a</w:t>
      </w:r>
      <w:proofErr w:type="gramEnd"/>
      <w:r>
        <w:rPr>
          <w:i/>
          <w:sz w:val="22"/>
          <w:szCs w:val="22"/>
          <w:lang w:val="en-US"/>
        </w:rPr>
        <w:t xml:space="preserve"> asset represent more than 10% of the pool, a drop in its market price is such an event).</w:t>
      </w:r>
      <w:r w:rsidRPr="00D876BD">
        <w:rPr>
          <w:i/>
          <w:sz w:val="22"/>
          <w:szCs w:val="22"/>
          <w:lang w:val="en-US"/>
        </w:rPr>
        <w:t xml:space="preserve"> </w:t>
      </w:r>
    </w:p>
    <w:p w:rsidR="00E16818" w:rsidRPr="00D876BD" w:rsidRDefault="00E16818" w:rsidP="00E16818">
      <w:pPr>
        <w:pStyle w:val="Default"/>
        <w:ind w:left="1440"/>
        <w:rPr>
          <w:i/>
          <w:sz w:val="22"/>
          <w:szCs w:val="22"/>
          <w:lang w:val="en-US"/>
        </w:rPr>
      </w:pPr>
    </w:p>
    <w:p w:rsidR="00E16818" w:rsidRDefault="00E16818" w:rsidP="00E16818">
      <w:pPr>
        <w:pStyle w:val="Default"/>
        <w:numPr>
          <w:ilvl w:val="0"/>
          <w:numId w:val="17"/>
        </w:numPr>
        <w:rPr>
          <w:sz w:val="22"/>
          <w:szCs w:val="22"/>
          <w:lang w:val="en-US"/>
        </w:rPr>
      </w:pPr>
      <w:r w:rsidRPr="00E837F4">
        <w:rPr>
          <w:sz w:val="22"/>
          <w:szCs w:val="22"/>
          <w:lang w:val="en-US"/>
        </w:rPr>
        <w:t xml:space="preserve">Q13: Please provide your views on whether the disclosure requirements should apply to SFIs that are “live” at the date of the RTS coming into force or only </w:t>
      </w:r>
      <w:r>
        <w:rPr>
          <w:sz w:val="22"/>
          <w:szCs w:val="22"/>
          <w:lang w:val="en-US"/>
        </w:rPr>
        <w:t>to SFIs issued after that date?</w:t>
      </w:r>
    </w:p>
    <w:p w:rsidR="00E16818" w:rsidRDefault="00E16818" w:rsidP="00E16818">
      <w:pPr>
        <w:pStyle w:val="Default"/>
        <w:numPr>
          <w:ilvl w:val="1"/>
          <w:numId w:val="17"/>
        </w:numPr>
        <w:rPr>
          <w:i/>
          <w:sz w:val="22"/>
          <w:szCs w:val="22"/>
          <w:lang w:val="en-US"/>
        </w:rPr>
      </w:pPr>
      <w:r w:rsidRPr="00120266">
        <w:rPr>
          <w:i/>
          <w:sz w:val="22"/>
          <w:szCs w:val="22"/>
          <w:lang w:val="en-US"/>
        </w:rPr>
        <w:t>In order to cover all SFIs subject to trading, we propose to apply the disclosure requirements to all “live” SFIs.</w:t>
      </w:r>
    </w:p>
    <w:p w:rsidR="00E16818" w:rsidRPr="00120266" w:rsidRDefault="00E16818" w:rsidP="00E16818">
      <w:pPr>
        <w:pStyle w:val="Default"/>
        <w:ind w:left="1440"/>
        <w:rPr>
          <w:i/>
          <w:sz w:val="22"/>
          <w:szCs w:val="22"/>
          <w:lang w:val="en-US"/>
        </w:rPr>
      </w:pPr>
    </w:p>
    <w:p w:rsidR="00E16818" w:rsidRDefault="00E16818" w:rsidP="00E16818">
      <w:pPr>
        <w:pStyle w:val="Default"/>
        <w:numPr>
          <w:ilvl w:val="0"/>
          <w:numId w:val="17"/>
        </w:numPr>
        <w:rPr>
          <w:sz w:val="22"/>
          <w:szCs w:val="22"/>
          <w:lang w:val="en-US"/>
        </w:rPr>
      </w:pPr>
      <w:r w:rsidRPr="00E837F4">
        <w:rPr>
          <w:sz w:val="22"/>
          <w:szCs w:val="22"/>
          <w:lang w:val="en-US"/>
        </w:rPr>
        <w:t>Q14: If the reporting obligation were to apply to “live” SFIs, what do you think would be an appropria</w:t>
      </w:r>
      <w:r>
        <w:rPr>
          <w:sz w:val="22"/>
          <w:szCs w:val="22"/>
          <w:lang w:val="en-US"/>
        </w:rPr>
        <w:t>te phase-in period or schedule?</w:t>
      </w:r>
    </w:p>
    <w:p w:rsidR="00E16818" w:rsidRDefault="00E16818" w:rsidP="00E16818">
      <w:pPr>
        <w:pStyle w:val="Default"/>
        <w:numPr>
          <w:ilvl w:val="1"/>
          <w:numId w:val="17"/>
        </w:numPr>
        <w:rPr>
          <w:i/>
          <w:sz w:val="22"/>
          <w:szCs w:val="22"/>
          <w:lang w:val="en-US"/>
        </w:rPr>
      </w:pPr>
      <w:r w:rsidRPr="00120266">
        <w:rPr>
          <w:i/>
          <w:sz w:val="22"/>
          <w:szCs w:val="22"/>
          <w:lang w:val="en-US"/>
        </w:rPr>
        <w:t xml:space="preserve">Such </w:t>
      </w:r>
      <w:r w:rsidR="00DE0521">
        <w:rPr>
          <w:i/>
          <w:sz w:val="22"/>
          <w:szCs w:val="22"/>
          <w:lang w:val="en-US"/>
        </w:rPr>
        <w:t xml:space="preserve">a </w:t>
      </w:r>
      <w:r w:rsidRPr="00120266">
        <w:rPr>
          <w:i/>
          <w:sz w:val="22"/>
          <w:szCs w:val="22"/>
          <w:lang w:val="en-US"/>
        </w:rPr>
        <w:t>task seems comparable to the introduction of the ECB template</w:t>
      </w:r>
      <w:r w:rsidR="00DE0521">
        <w:rPr>
          <w:i/>
          <w:sz w:val="22"/>
          <w:szCs w:val="22"/>
          <w:lang w:val="en-US"/>
        </w:rPr>
        <w:t>s for</w:t>
      </w:r>
      <w:r w:rsidR="00D17DEE">
        <w:rPr>
          <w:i/>
          <w:sz w:val="22"/>
          <w:szCs w:val="22"/>
          <w:lang w:val="en-US"/>
        </w:rPr>
        <w:t xml:space="preserve"> </w:t>
      </w:r>
      <w:r w:rsidR="00DE0521">
        <w:rPr>
          <w:i/>
          <w:sz w:val="22"/>
          <w:szCs w:val="22"/>
          <w:lang w:val="en-US"/>
        </w:rPr>
        <w:t>ABS</w:t>
      </w:r>
      <w:r w:rsidRPr="00120266">
        <w:rPr>
          <w:i/>
          <w:sz w:val="22"/>
          <w:szCs w:val="22"/>
          <w:lang w:val="en-US"/>
        </w:rPr>
        <w:t>, thus we propose a one year period.</w:t>
      </w:r>
      <w:r>
        <w:rPr>
          <w:i/>
          <w:sz w:val="22"/>
          <w:szCs w:val="22"/>
          <w:lang w:val="en-US"/>
        </w:rPr>
        <w:t xml:space="preserve"> However it should be discussed with the main actors of the securitization market</w:t>
      </w:r>
      <w:r w:rsidR="00DE0521">
        <w:rPr>
          <w:i/>
          <w:sz w:val="22"/>
          <w:szCs w:val="22"/>
          <w:lang w:val="en-US"/>
        </w:rPr>
        <w:t xml:space="preserve"> and the experience gathered with the introduction of the templates abovementioned should help design an appropriate phase-in period</w:t>
      </w:r>
      <w:r>
        <w:rPr>
          <w:i/>
          <w:sz w:val="22"/>
          <w:szCs w:val="22"/>
          <w:lang w:val="en-US"/>
        </w:rPr>
        <w:t>.</w:t>
      </w:r>
    </w:p>
    <w:p w:rsidR="00E16818" w:rsidRPr="00120266" w:rsidRDefault="00E16818" w:rsidP="00E16818">
      <w:pPr>
        <w:pStyle w:val="Default"/>
        <w:ind w:left="1440"/>
        <w:rPr>
          <w:i/>
          <w:sz w:val="22"/>
          <w:szCs w:val="22"/>
          <w:lang w:val="en-US"/>
        </w:rPr>
      </w:pPr>
    </w:p>
    <w:p w:rsidR="00E16818" w:rsidRDefault="00E16818" w:rsidP="00E16818">
      <w:pPr>
        <w:pStyle w:val="Default"/>
        <w:numPr>
          <w:ilvl w:val="0"/>
          <w:numId w:val="17"/>
        </w:numPr>
        <w:rPr>
          <w:sz w:val="22"/>
          <w:szCs w:val="22"/>
          <w:lang w:val="en-US"/>
        </w:rPr>
      </w:pPr>
      <w:r w:rsidRPr="00E837F4">
        <w:rPr>
          <w:sz w:val="22"/>
          <w:szCs w:val="22"/>
          <w:lang w:val="en-US"/>
        </w:rPr>
        <w:t xml:space="preserve">Q15: Do you have any other comments on the frequency of the reporting? </w:t>
      </w:r>
      <w:r w:rsidRPr="007D2A4E">
        <w:rPr>
          <w:sz w:val="22"/>
          <w:szCs w:val="22"/>
          <w:lang w:val="en-US"/>
        </w:rPr>
        <w:t>Do you think any other approach should be considered?</w:t>
      </w:r>
    </w:p>
    <w:p w:rsidR="00E16818" w:rsidRDefault="00E16818" w:rsidP="00E16818">
      <w:pPr>
        <w:pStyle w:val="Default"/>
        <w:numPr>
          <w:ilvl w:val="1"/>
          <w:numId w:val="17"/>
        </w:numPr>
        <w:rPr>
          <w:i/>
          <w:sz w:val="22"/>
          <w:szCs w:val="22"/>
          <w:lang w:val="en-US"/>
        </w:rPr>
      </w:pPr>
      <w:r w:rsidRPr="00120266">
        <w:rPr>
          <w:i/>
          <w:sz w:val="22"/>
          <w:szCs w:val="22"/>
          <w:lang w:val="en-US"/>
        </w:rPr>
        <w:t xml:space="preserve">A large majority of existing securitization do have a monthly periodic reporting. We propose to use the same. The frequency of reporting is also linked to the granularity of the underlying </w:t>
      </w:r>
      <w:proofErr w:type="gramStart"/>
      <w:r w:rsidRPr="00120266">
        <w:rPr>
          <w:i/>
          <w:sz w:val="22"/>
          <w:szCs w:val="22"/>
          <w:lang w:val="en-US"/>
        </w:rPr>
        <w:t>portfolio,</w:t>
      </w:r>
      <w:proofErr w:type="gramEnd"/>
      <w:r w:rsidRPr="00120266">
        <w:rPr>
          <w:i/>
          <w:sz w:val="22"/>
          <w:szCs w:val="22"/>
          <w:lang w:val="en-US"/>
        </w:rPr>
        <w:t xml:space="preserve"> indeed a granular portfolio will exhibit more inertia, contrary to a non-granular portfolio more prone to idiosyncratic events. </w:t>
      </w:r>
    </w:p>
    <w:p w:rsidR="00E16818" w:rsidRPr="00120266" w:rsidRDefault="00E16818" w:rsidP="00E16818">
      <w:pPr>
        <w:pStyle w:val="Default"/>
        <w:ind w:left="1440"/>
        <w:rPr>
          <w:i/>
          <w:sz w:val="22"/>
          <w:szCs w:val="22"/>
          <w:lang w:val="en-US"/>
        </w:rPr>
      </w:pPr>
    </w:p>
    <w:p w:rsidR="00E16818" w:rsidRDefault="00E16818" w:rsidP="00E16818">
      <w:pPr>
        <w:pStyle w:val="Default"/>
        <w:numPr>
          <w:ilvl w:val="0"/>
          <w:numId w:val="17"/>
        </w:numPr>
        <w:rPr>
          <w:sz w:val="22"/>
          <w:szCs w:val="22"/>
          <w:lang w:val="en-US"/>
        </w:rPr>
      </w:pPr>
      <w:r w:rsidRPr="00E837F4">
        <w:rPr>
          <w:sz w:val="22"/>
          <w:szCs w:val="22"/>
          <w:lang w:val="en-US"/>
        </w:rPr>
        <w:t>Q16: Are different templates needed for each of the asset classes subject to the disclosure requirements?</w:t>
      </w:r>
    </w:p>
    <w:p w:rsidR="00E16818" w:rsidRDefault="00E16818" w:rsidP="00E16818">
      <w:pPr>
        <w:pStyle w:val="Default"/>
        <w:numPr>
          <w:ilvl w:val="1"/>
          <w:numId w:val="17"/>
        </w:numPr>
        <w:rPr>
          <w:i/>
          <w:sz w:val="22"/>
          <w:szCs w:val="22"/>
          <w:lang w:val="en-US"/>
        </w:rPr>
      </w:pPr>
      <w:r w:rsidRPr="00120266">
        <w:rPr>
          <w:i/>
          <w:sz w:val="22"/>
          <w:szCs w:val="22"/>
          <w:lang w:val="en-US"/>
        </w:rPr>
        <w:t>Indeed each asset class has different risk drivers, thus specific templates for disclosure are necessary. In addition the frequency of reporting may be linked to the granularity of the pool (see Q15).</w:t>
      </w:r>
    </w:p>
    <w:p w:rsidR="00E16818" w:rsidRDefault="00E16818" w:rsidP="00E16818">
      <w:pPr>
        <w:pStyle w:val="Default"/>
        <w:numPr>
          <w:ilvl w:val="1"/>
          <w:numId w:val="17"/>
        </w:numPr>
        <w:rPr>
          <w:i/>
          <w:sz w:val="22"/>
          <w:szCs w:val="22"/>
          <w:lang w:val="en-US"/>
        </w:rPr>
      </w:pPr>
      <w:r>
        <w:rPr>
          <w:i/>
          <w:sz w:val="22"/>
          <w:szCs w:val="22"/>
          <w:lang w:val="en-US"/>
        </w:rPr>
        <w:t>Nevertheless, a common global structure should be a goal, handling the main comparable characteristics.</w:t>
      </w:r>
    </w:p>
    <w:p w:rsidR="00E16818" w:rsidRPr="00120266" w:rsidRDefault="00E16818" w:rsidP="00E16818">
      <w:pPr>
        <w:pStyle w:val="Default"/>
        <w:ind w:left="1440"/>
        <w:rPr>
          <w:i/>
          <w:sz w:val="22"/>
          <w:szCs w:val="22"/>
          <w:lang w:val="en-US"/>
        </w:rPr>
      </w:pPr>
    </w:p>
    <w:p w:rsidR="00E16818" w:rsidRDefault="00E16818" w:rsidP="00E16818">
      <w:pPr>
        <w:pStyle w:val="Default"/>
        <w:numPr>
          <w:ilvl w:val="0"/>
          <w:numId w:val="17"/>
        </w:numPr>
        <w:rPr>
          <w:sz w:val="22"/>
          <w:szCs w:val="22"/>
          <w:lang w:val="en-US"/>
        </w:rPr>
      </w:pPr>
      <w:r>
        <w:rPr>
          <w:sz w:val="22"/>
          <w:szCs w:val="22"/>
          <w:lang w:val="en-US"/>
        </w:rPr>
        <w:t xml:space="preserve">Q17: </w:t>
      </w:r>
      <w:r w:rsidRPr="00E837F4">
        <w:rPr>
          <w:sz w:val="22"/>
          <w:szCs w:val="22"/>
          <w:lang w:val="en-US"/>
        </w:rPr>
        <w:t xml:space="preserve">Do you consider that the scope and content of the ECB templates set to report loan-level data are appropriate for addressing CRA 3’s disclosure requirements? </w:t>
      </w:r>
    </w:p>
    <w:p w:rsidR="00E16818" w:rsidRPr="00285C0E" w:rsidRDefault="00E16818" w:rsidP="00E16818">
      <w:pPr>
        <w:pStyle w:val="Default"/>
        <w:numPr>
          <w:ilvl w:val="1"/>
          <w:numId w:val="17"/>
        </w:numPr>
        <w:rPr>
          <w:i/>
          <w:sz w:val="22"/>
          <w:szCs w:val="22"/>
          <w:lang w:val="en-US"/>
        </w:rPr>
      </w:pPr>
      <w:r w:rsidRPr="00285C0E">
        <w:rPr>
          <w:i/>
          <w:sz w:val="22"/>
          <w:szCs w:val="22"/>
          <w:lang w:val="en-US"/>
        </w:rPr>
        <w:t xml:space="preserve">We consider the ECB templates appropriate to address CRA 3’s disclosure requirements. Their purpose is indeed similar. </w:t>
      </w:r>
    </w:p>
    <w:p w:rsidR="00E16818" w:rsidRDefault="00E16818" w:rsidP="00E16818">
      <w:pPr>
        <w:pStyle w:val="Default"/>
        <w:numPr>
          <w:ilvl w:val="0"/>
          <w:numId w:val="17"/>
        </w:numPr>
        <w:rPr>
          <w:sz w:val="22"/>
          <w:szCs w:val="22"/>
          <w:lang w:val="en-US"/>
        </w:rPr>
      </w:pPr>
      <w:r w:rsidRPr="004A547A">
        <w:rPr>
          <w:i/>
          <w:sz w:val="22"/>
          <w:lang w:val="en-US"/>
        </w:rPr>
        <w:t>Q</w:t>
      </w:r>
      <w:r w:rsidRPr="00E837F4">
        <w:rPr>
          <w:sz w:val="22"/>
          <w:szCs w:val="22"/>
          <w:lang w:val="en-US"/>
        </w:rPr>
        <w:t xml:space="preserve">18: Do you consider </w:t>
      </w:r>
      <w:r>
        <w:rPr>
          <w:sz w:val="22"/>
          <w:szCs w:val="22"/>
          <w:lang w:val="en-US"/>
        </w:rPr>
        <w:t>t</w:t>
      </w:r>
      <w:r w:rsidRPr="00E837F4">
        <w:rPr>
          <w:sz w:val="22"/>
          <w:szCs w:val="22"/>
          <w:lang w:val="en-US"/>
        </w:rPr>
        <w:t>hat the data collected through the ECB templates would allow other investors to conduct comprehensive and well-informed stress tests for their own specific requirements on the cash flows and collateral values supporting the underlying exposures? If not, explain what further information should be reported (e.g. prospectus, transaction summary, pool performance data, credit support information, investor reports, due diligence reports) and, if applicable, please consider other r</w:t>
      </w:r>
      <w:r>
        <w:rPr>
          <w:sz w:val="22"/>
          <w:szCs w:val="22"/>
          <w:lang w:val="en-US"/>
        </w:rPr>
        <w:t>elevant reporting requirements.</w:t>
      </w:r>
    </w:p>
    <w:p w:rsidR="00E16818" w:rsidRDefault="00E16818" w:rsidP="00E16818">
      <w:pPr>
        <w:pStyle w:val="Default"/>
        <w:numPr>
          <w:ilvl w:val="1"/>
          <w:numId w:val="17"/>
        </w:numPr>
        <w:rPr>
          <w:i/>
          <w:sz w:val="22"/>
          <w:szCs w:val="22"/>
          <w:lang w:val="en-US"/>
        </w:rPr>
      </w:pPr>
      <w:r w:rsidRPr="00823D7F">
        <w:rPr>
          <w:i/>
          <w:sz w:val="22"/>
          <w:szCs w:val="22"/>
          <w:lang w:val="en-US"/>
        </w:rPr>
        <w:t xml:space="preserve">In order to perform stress tests, in addition to the loan by loan information, the prospectus is necessary to address two points: understanding the </w:t>
      </w:r>
      <w:proofErr w:type="spellStart"/>
      <w:r w:rsidRPr="00823D7F">
        <w:rPr>
          <w:i/>
          <w:sz w:val="22"/>
          <w:szCs w:val="22"/>
          <w:lang w:val="en-US"/>
        </w:rPr>
        <w:t>tranching</w:t>
      </w:r>
      <w:proofErr w:type="spellEnd"/>
      <w:r w:rsidRPr="00823D7F">
        <w:rPr>
          <w:i/>
          <w:sz w:val="22"/>
          <w:szCs w:val="22"/>
          <w:lang w:val="en-US"/>
        </w:rPr>
        <w:t xml:space="preserve"> mechanism and checking the absence of additional risks (outside the collateral credit risk). Due diligence may be interesting in some cases where there is a doubt on the quality of one party to the transaction.</w:t>
      </w:r>
    </w:p>
    <w:p w:rsidR="00E16818" w:rsidRPr="0034595E" w:rsidRDefault="00E16818" w:rsidP="00E16818">
      <w:pPr>
        <w:pStyle w:val="Default"/>
        <w:numPr>
          <w:ilvl w:val="1"/>
          <w:numId w:val="17"/>
        </w:numPr>
        <w:rPr>
          <w:i/>
          <w:sz w:val="22"/>
          <w:szCs w:val="22"/>
          <w:lang w:val="en-US"/>
        </w:rPr>
      </w:pPr>
      <w:r w:rsidRPr="0034595E">
        <w:rPr>
          <w:i/>
          <w:sz w:val="22"/>
          <w:szCs w:val="22"/>
          <w:lang w:val="en-US"/>
        </w:rPr>
        <w:t>The database might include a tool for extracting data from several SFIs. For instance, users should be able to collect all the default experience for a particular underlying type, across all the SFIs written on that underlying type. That would allow for getting some inputs for stress testing.</w:t>
      </w:r>
    </w:p>
    <w:p w:rsidR="00E16818" w:rsidRPr="00285C0E" w:rsidRDefault="00E16818" w:rsidP="00E16818">
      <w:pPr>
        <w:pStyle w:val="Default"/>
        <w:numPr>
          <w:ilvl w:val="1"/>
          <w:numId w:val="17"/>
        </w:numPr>
        <w:rPr>
          <w:i/>
          <w:sz w:val="22"/>
          <w:szCs w:val="22"/>
          <w:lang w:val="en-US"/>
        </w:rPr>
      </w:pPr>
      <w:r>
        <w:rPr>
          <w:i/>
          <w:sz w:val="22"/>
          <w:szCs w:val="22"/>
          <w:lang w:val="en-US"/>
        </w:rPr>
        <w:t xml:space="preserve">Relevant focused dashboards might be helpful in addition to exhaustive data. </w:t>
      </w:r>
      <w:r w:rsidRPr="00285C0E">
        <w:rPr>
          <w:i/>
          <w:sz w:val="22"/>
          <w:szCs w:val="22"/>
          <w:lang w:val="en-US"/>
        </w:rPr>
        <w:t>The content of information should be clear</w:t>
      </w:r>
      <w:r>
        <w:rPr>
          <w:i/>
          <w:sz w:val="22"/>
          <w:szCs w:val="22"/>
          <w:lang w:val="en-US"/>
        </w:rPr>
        <w:t xml:space="preserve"> and </w:t>
      </w:r>
      <w:r w:rsidRPr="00285C0E">
        <w:rPr>
          <w:i/>
          <w:sz w:val="22"/>
          <w:szCs w:val="22"/>
          <w:lang w:val="en-US"/>
        </w:rPr>
        <w:t>synthetic.</w:t>
      </w:r>
    </w:p>
    <w:p w:rsidR="00E16818" w:rsidRDefault="00E16818" w:rsidP="00E16818">
      <w:pPr>
        <w:pStyle w:val="Default"/>
        <w:ind w:left="1440"/>
        <w:rPr>
          <w:i/>
          <w:sz w:val="22"/>
          <w:szCs w:val="22"/>
          <w:lang w:val="en-US"/>
        </w:rPr>
      </w:pPr>
    </w:p>
    <w:p w:rsidR="00E16818" w:rsidRPr="00823D7F" w:rsidRDefault="00E16818" w:rsidP="00E16818">
      <w:pPr>
        <w:pStyle w:val="Default"/>
        <w:ind w:left="1440"/>
        <w:rPr>
          <w:i/>
          <w:sz w:val="22"/>
          <w:szCs w:val="22"/>
          <w:lang w:val="en-US"/>
        </w:rPr>
      </w:pPr>
    </w:p>
    <w:p w:rsidR="00E16818" w:rsidRDefault="00E16818" w:rsidP="00E16818">
      <w:pPr>
        <w:pStyle w:val="Default"/>
        <w:numPr>
          <w:ilvl w:val="0"/>
          <w:numId w:val="17"/>
        </w:numPr>
        <w:rPr>
          <w:sz w:val="22"/>
          <w:szCs w:val="22"/>
          <w:lang w:val="en-US"/>
        </w:rPr>
      </w:pPr>
      <w:r w:rsidRPr="00E837F4">
        <w:rPr>
          <w:sz w:val="22"/>
          <w:szCs w:val="22"/>
          <w:lang w:val="en-US"/>
        </w:rPr>
        <w:t xml:space="preserve">Q19: Apart from the national or Union law governing the protection of confidentiality of information, should the context of local </w:t>
      </w:r>
      <w:proofErr w:type="spellStart"/>
      <w:r w:rsidRPr="00E837F4">
        <w:rPr>
          <w:sz w:val="22"/>
          <w:szCs w:val="22"/>
          <w:lang w:val="en-US"/>
        </w:rPr>
        <w:t>securitisation</w:t>
      </w:r>
      <w:proofErr w:type="spellEnd"/>
      <w:r w:rsidRPr="00E837F4">
        <w:rPr>
          <w:sz w:val="22"/>
          <w:szCs w:val="22"/>
          <w:lang w:val="en-US"/>
        </w:rPr>
        <w:t xml:space="preserve"> framework for specific asset classes be also considered? </w:t>
      </w:r>
    </w:p>
    <w:p w:rsidR="00E16818" w:rsidRPr="00E837F4" w:rsidRDefault="00E16818" w:rsidP="00E16818">
      <w:pPr>
        <w:pStyle w:val="Default"/>
        <w:ind w:left="720"/>
        <w:rPr>
          <w:sz w:val="22"/>
          <w:szCs w:val="22"/>
          <w:lang w:val="en-US"/>
        </w:rPr>
      </w:pPr>
    </w:p>
    <w:p w:rsidR="00E16818" w:rsidRDefault="00E16818" w:rsidP="00E16818">
      <w:pPr>
        <w:pStyle w:val="Default"/>
        <w:numPr>
          <w:ilvl w:val="0"/>
          <w:numId w:val="17"/>
        </w:numPr>
        <w:rPr>
          <w:sz w:val="22"/>
          <w:szCs w:val="22"/>
          <w:lang w:val="en-US"/>
        </w:rPr>
      </w:pPr>
      <w:r w:rsidRPr="00E837F4">
        <w:rPr>
          <w:sz w:val="22"/>
          <w:szCs w:val="22"/>
          <w:lang w:val="en-US"/>
        </w:rPr>
        <w:t xml:space="preserve">Q20: Do you have any other comments on the provision of Article 8b (3) (c) concerning the </w:t>
      </w:r>
      <w:proofErr w:type="spellStart"/>
      <w:r w:rsidRPr="00E837F4">
        <w:rPr>
          <w:sz w:val="22"/>
          <w:szCs w:val="22"/>
          <w:lang w:val="en-US"/>
        </w:rPr>
        <w:t>standardisation</w:t>
      </w:r>
      <w:proofErr w:type="spellEnd"/>
      <w:r>
        <w:rPr>
          <w:sz w:val="22"/>
          <w:szCs w:val="22"/>
          <w:lang w:val="en-US"/>
        </w:rPr>
        <w:t xml:space="preserve"> of the information to be used?</w:t>
      </w:r>
    </w:p>
    <w:p w:rsidR="00E16818" w:rsidRPr="00FA27AD" w:rsidRDefault="00E16818" w:rsidP="00E16818">
      <w:pPr>
        <w:pStyle w:val="Default"/>
        <w:numPr>
          <w:ilvl w:val="1"/>
          <w:numId w:val="17"/>
        </w:numPr>
        <w:rPr>
          <w:i/>
          <w:sz w:val="22"/>
          <w:szCs w:val="22"/>
          <w:lang w:val="en-US"/>
        </w:rPr>
      </w:pPr>
      <w:proofErr w:type="spellStart"/>
      <w:r w:rsidRPr="00FA27AD">
        <w:rPr>
          <w:i/>
          <w:sz w:val="22"/>
          <w:szCs w:val="22"/>
          <w:lang w:val="en-US"/>
        </w:rPr>
        <w:t>Standardisation</w:t>
      </w:r>
      <w:proofErr w:type="spellEnd"/>
      <w:r w:rsidRPr="00FA27AD">
        <w:rPr>
          <w:i/>
          <w:sz w:val="22"/>
          <w:szCs w:val="22"/>
          <w:lang w:val="en-US"/>
        </w:rPr>
        <w:t xml:space="preserve"> of the information is </w:t>
      </w:r>
      <w:proofErr w:type="gramStart"/>
      <w:r w:rsidRPr="00FA27AD">
        <w:rPr>
          <w:i/>
          <w:sz w:val="22"/>
          <w:szCs w:val="22"/>
          <w:lang w:val="en-US"/>
        </w:rPr>
        <w:t>key</w:t>
      </w:r>
      <w:proofErr w:type="gramEnd"/>
      <w:r w:rsidRPr="00FA27AD">
        <w:rPr>
          <w:i/>
          <w:sz w:val="22"/>
          <w:szCs w:val="22"/>
          <w:lang w:val="en-US"/>
        </w:rPr>
        <w:t xml:space="preserve"> for ensuring comfort to the users. Therefore, the point of view adopted when building the templates, should be the one of the final user.</w:t>
      </w:r>
    </w:p>
    <w:p w:rsidR="00E16818" w:rsidRDefault="00E16818" w:rsidP="00E16818">
      <w:pPr>
        <w:pStyle w:val="Default"/>
        <w:ind w:left="1440"/>
        <w:rPr>
          <w:sz w:val="22"/>
          <w:szCs w:val="22"/>
          <w:lang w:val="en-US"/>
        </w:rPr>
      </w:pPr>
    </w:p>
    <w:p w:rsidR="00E16818" w:rsidRPr="00E837F4" w:rsidRDefault="00E16818" w:rsidP="00E16818">
      <w:pPr>
        <w:pStyle w:val="Default"/>
        <w:rPr>
          <w:sz w:val="22"/>
          <w:szCs w:val="22"/>
          <w:lang w:val="en-US"/>
        </w:rPr>
      </w:pPr>
    </w:p>
    <w:p w:rsidR="00E16818" w:rsidRPr="00E837F4" w:rsidRDefault="00E16818" w:rsidP="00E16818">
      <w:pPr>
        <w:pStyle w:val="Default"/>
        <w:rPr>
          <w:sz w:val="22"/>
          <w:szCs w:val="22"/>
          <w:lang w:val="en-US"/>
        </w:rPr>
      </w:pPr>
      <w:r w:rsidRPr="00E837F4">
        <w:rPr>
          <w:b/>
          <w:bCs/>
          <w:sz w:val="22"/>
          <w:szCs w:val="22"/>
          <w:lang w:val="en-US"/>
        </w:rPr>
        <w:t xml:space="preserve">III. DRAFT RTS on THE EUROPEAN RATING PLATFORM </w:t>
      </w:r>
    </w:p>
    <w:p w:rsidR="00E16818" w:rsidRPr="00E837F4" w:rsidRDefault="00E16818" w:rsidP="00E16818">
      <w:pPr>
        <w:pStyle w:val="Default"/>
        <w:rPr>
          <w:sz w:val="22"/>
          <w:szCs w:val="22"/>
          <w:lang w:val="en-US"/>
        </w:rPr>
      </w:pPr>
      <w:r w:rsidRPr="00E837F4">
        <w:rPr>
          <w:b/>
          <w:bCs/>
          <w:sz w:val="22"/>
          <w:szCs w:val="22"/>
          <w:lang w:val="en-US"/>
        </w:rPr>
        <w:t xml:space="preserve">III.I. Containing complete information on ratings and outlooks and related rating actions </w:t>
      </w:r>
    </w:p>
    <w:p w:rsidR="00E16818" w:rsidRDefault="00E16818" w:rsidP="00E16818">
      <w:pPr>
        <w:pStyle w:val="Default"/>
        <w:numPr>
          <w:ilvl w:val="0"/>
          <w:numId w:val="17"/>
        </w:numPr>
        <w:rPr>
          <w:sz w:val="22"/>
          <w:szCs w:val="22"/>
          <w:lang w:val="en-US"/>
        </w:rPr>
      </w:pPr>
      <w:r w:rsidRPr="00E837F4">
        <w:rPr>
          <w:sz w:val="22"/>
          <w:szCs w:val="22"/>
          <w:lang w:val="en-US"/>
        </w:rPr>
        <w:t>Q21: Particularly for users of ratings: Taking into consideration the rating classification described above, could you suggest</w:t>
      </w:r>
      <w:r>
        <w:rPr>
          <w:sz w:val="22"/>
          <w:szCs w:val="22"/>
          <w:lang w:val="en-US"/>
        </w:rPr>
        <w:t xml:space="preserve"> (including a detailed reason): o</w:t>
      </w:r>
      <w:r w:rsidRPr="00DA4B69">
        <w:rPr>
          <w:sz w:val="22"/>
          <w:szCs w:val="22"/>
          <w:lang w:val="en-US"/>
        </w:rPr>
        <w:t>ther rating types not captured in the above categorization, which rating categories or rating components should ERP cover, other actions or events affecting the ratings, that should be published on the ERP.</w:t>
      </w:r>
    </w:p>
    <w:p w:rsidR="00E16818" w:rsidRPr="00B048AD" w:rsidRDefault="00E16818" w:rsidP="00E16818">
      <w:pPr>
        <w:pStyle w:val="Default"/>
        <w:numPr>
          <w:ilvl w:val="1"/>
          <w:numId w:val="17"/>
        </w:numPr>
        <w:rPr>
          <w:i/>
          <w:sz w:val="22"/>
          <w:szCs w:val="22"/>
          <w:lang w:val="en-US"/>
        </w:rPr>
      </w:pPr>
      <w:r w:rsidRPr="00B048AD">
        <w:rPr>
          <w:i/>
          <w:sz w:val="22"/>
          <w:szCs w:val="22"/>
          <w:lang w:val="en-US"/>
        </w:rPr>
        <w:t xml:space="preserve">The classification of the entities should take into account the characteristics of rating migration, e.g. financial institutions should be specified separately from non-financial </w:t>
      </w:r>
      <w:proofErr w:type="spellStart"/>
      <w:r w:rsidRPr="00B048AD">
        <w:rPr>
          <w:i/>
          <w:sz w:val="22"/>
          <w:szCs w:val="22"/>
          <w:lang w:val="en-US"/>
        </w:rPr>
        <w:t>corporates</w:t>
      </w:r>
      <w:proofErr w:type="spellEnd"/>
      <w:r w:rsidRPr="00B048AD">
        <w:rPr>
          <w:i/>
          <w:sz w:val="22"/>
          <w:szCs w:val="22"/>
          <w:lang w:val="en-US"/>
        </w:rPr>
        <w:t>, as their default pattern can be very specific.</w:t>
      </w:r>
    </w:p>
    <w:p w:rsidR="00E16818" w:rsidRDefault="00E16818" w:rsidP="00E16818">
      <w:pPr>
        <w:pStyle w:val="Default"/>
        <w:numPr>
          <w:ilvl w:val="1"/>
          <w:numId w:val="17"/>
        </w:numPr>
        <w:rPr>
          <w:i/>
          <w:sz w:val="22"/>
          <w:szCs w:val="22"/>
          <w:lang w:val="en-US"/>
        </w:rPr>
      </w:pPr>
      <w:r w:rsidRPr="00B048AD">
        <w:rPr>
          <w:i/>
          <w:sz w:val="22"/>
          <w:szCs w:val="22"/>
          <w:lang w:val="en-US"/>
        </w:rPr>
        <w:t>On the rating categories, a summary of the difference (in notches) between a senior rating and an issuer rating should be provided, same for subordinated rating, secured ratings. This will allow a comparison between CRAs on their assessment of the effect of the subordination or existence of a security.</w:t>
      </w:r>
    </w:p>
    <w:p w:rsidR="00E16818" w:rsidRDefault="00E16818" w:rsidP="00E16818">
      <w:pPr>
        <w:pStyle w:val="Default"/>
        <w:numPr>
          <w:ilvl w:val="1"/>
          <w:numId w:val="17"/>
        </w:numPr>
        <w:rPr>
          <w:i/>
          <w:sz w:val="22"/>
          <w:szCs w:val="22"/>
          <w:lang w:val="en-US"/>
        </w:rPr>
      </w:pPr>
      <w:r>
        <w:rPr>
          <w:i/>
          <w:sz w:val="22"/>
          <w:szCs w:val="22"/>
          <w:lang w:val="en-US"/>
        </w:rPr>
        <w:t>In addition the historical evolution of short-term ratings needs to be provided alongside long-term ratings.</w:t>
      </w:r>
    </w:p>
    <w:p w:rsidR="00E16818" w:rsidRPr="00BA539E" w:rsidRDefault="00E16818" w:rsidP="00E16818">
      <w:pPr>
        <w:pStyle w:val="Default"/>
        <w:numPr>
          <w:ilvl w:val="1"/>
          <w:numId w:val="17"/>
        </w:numPr>
        <w:rPr>
          <w:i/>
          <w:sz w:val="22"/>
          <w:szCs w:val="22"/>
          <w:lang w:val="en-US"/>
        </w:rPr>
      </w:pPr>
      <w:r w:rsidRPr="00BA539E">
        <w:rPr>
          <w:i/>
          <w:sz w:val="22"/>
          <w:szCs w:val="22"/>
          <w:lang w:val="en-US"/>
        </w:rPr>
        <w:t>If possible, further split in the structured finance ratings categories.</w:t>
      </w:r>
    </w:p>
    <w:p w:rsidR="00E16818" w:rsidRDefault="00E16818" w:rsidP="00E16818">
      <w:pPr>
        <w:pStyle w:val="Default"/>
        <w:numPr>
          <w:ilvl w:val="1"/>
          <w:numId w:val="17"/>
        </w:numPr>
        <w:rPr>
          <w:i/>
          <w:color w:val="auto"/>
          <w:sz w:val="22"/>
          <w:szCs w:val="22"/>
          <w:lang w:val="en-US"/>
        </w:rPr>
      </w:pPr>
      <w:r w:rsidRPr="00BA539E">
        <w:rPr>
          <w:i/>
          <w:color w:val="auto"/>
          <w:sz w:val="22"/>
          <w:szCs w:val="22"/>
          <w:lang w:val="en-US"/>
        </w:rPr>
        <w:t>Official comments, press releases, reports  accompanying all rating updates mentioned in point 31 / page 18</w:t>
      </w:r>
    </w:p>
    <w:p w:rsidR="00E16818" w:rsidRPr="00BA539E" w:rsidRDefault="00E16818" w:rsidP="00E16818">
      <w:pPr>
        <w:pStyle w:val="Default"/>
        <w:numPr>
          <w:ilvl w:val="1"/>
          <w:numId w:val="17"/>
        </w:numPr>
        <w:rPr>
          <w:i/>
          <w:color w:val="auto"/>
          <w:sz w:val="22"/>
          <w:szCs w:val="22"/>
          <w:lang w:val="en-US"/>
        </w:rPr>
      </w:pPr>
      <w:r>
        <w:rPr>
          <w:i/>
          <w:color w:val="auto"/>
          <w:sz w:val="22"/>
          <w:szCs w:val="22"/>
          <w:lang w:val="en-US"/>
        </w:rPr>
        <w:t>Finally the time horizon for the historical data should be broadened particularly for sovereign ratings in order to obtain reliable statistics.</w:t>
      </w:r>
    </w:p>
    <w:p w:rsidR="00E16818" w:rsidRPr="00464325" w:rsidRDefault="00E16818" w:rsidP="00E16818">
      <w:pPr>
        <w:pStyle w:val="Default"/>
        <w:ind w:left="1440"/>
        <w:rPr>
          <w:i/>
          <w:sz w:val="22"/>
          <w:szCs w:val="22"/>
          <w:lang w:val="en-US"/>
        </w:rPr>
      </w:pPr>
    </w:p>
    <w:p w:rsidR="00E16818" w:rsidRDefault="00E16818" w:rsidP="00E16818">
      <w:pPr>
        <w:pStyle w:val="Default"/>
        <w:numPr>
          <w:ilvl w:val="0"/>
          <w:numId w:val="17"/>
        </w:numPr>
        <w:rPr>
          <w:sz w:val="22"/>
          <w:szCs w:val="22"/>
          <w:lang w:val="en-US"/>
        </w:rPr>
      </w:pPr>
      <w:r w:rsidRPr="00E837F4">
        <w:rPr>
          <w:sz w:val="22"/>
          <w:szCs w:val="22"/>
          <w:lang w:val="en-US"/>
        </w:rPr>
        <w:t xml:space="preserve">Q22: For displaying the press release information, which of the two options </w:t>
      </w:r>
      <w:proofErr w:type="gramStart"/>
      <w:r w:rsidRPr="00E837F4">
        <w:rPr>
          <w:sz w:val="22"/>
          <w:szCs w:val="22"/>
          <w:lang w:val="en-US"/>
        </w:rPr>
        <w:t>do</w:t>
      </w:r>
      <w:proofErr w:type="gramEnd"/>
      <w:r w:rsidRPr="00E837F4">
        <w:rPr>
          <w:sz w:val="22"/>
          <w:szCs w:val="22"/>
          <w:lang w:val="en-US"/>
        </w:rPr>
        <w:t xml:space="preserve"> you prefer and why? Particularly for CRAs: Can you provide evidence on costs that you would incur under the two proposed options? Could you suggest other ways of retrieving, storing and make available on the ERP the press release information? </w:t>
      </w:r>
    </w:p>
    <w:p w:rsidR="00E16818" w:rsidRPr="00E837F4" w:rsidRDefault="00E16818" w:rsidP="00E16818">
      <w:pPr>
        <w:pStyle w:val="Default"/>
        <w:ind w:left="720"/>
        <w:rPr>
          <w:sz w:val="22"/>
          <w:szCs w:val="22"/>
          <w:lang w:val="en-US"/>
        </w:rPr>
      </w:pPr>
    </w:p>
    <w:p w:rsidR="00E16818" w:rsidRDefault="00E16818" w:rsidP="00E16818">
      <w:pPr>
        <w:pStyle w:val="Default"/>
        <w:numPr>
          <w:ilvl w:val="0"/>
          <w:numId w:val="17"/>
        </w:numPr>
        <w:rPr>
          <w:sz w:val="22"/>
          <w:szCs w:val="22"/>
          <w:lang w:val="en-US"/>
        </w:rPr>
      </w:pPr>
      <w:r w:rsidRPr="00E837F4">
        <w:rPr>
          <w:sz w:val="22"/>
          <w:szCs w:val="22"/>
          <w:lang w:val="en-US"/>
        </w:rPr>
        <w:t>Q23: Shall the ERP provide supporting rating information in addition to the press releases/report? If so, what kind of information on the rating / ratin</w:t>
      </w:r>
      <w:r>
        <w:rPr>
          <w:sz w:val="22"/>
          <w:szCs w:val="22"/>
          <w:lang w:val="en-US"/>
        </w:rPr>
        <w:t>g action would be beneficial?</w:t>
      </w:r>
    </w:p>
    <w:p w:rsidR="00E16818" w:rsidRDefault="00E16818" w:rsidP="00E16818">
      <w:pPr>
        <w:pStyle w:val="Default"/>
        <w:numPr>
          <w:ilvl w:val="1"/>
          <w:numId w:val="17"/>
        </w:numPr>
        <w:rPr>
          <w:i/>
          <w:sz w:val="22"/>
          <w:szCs w:val="22"/>
          <w:lang w:val="en-US"/>
        </w:rPr>
      </w:pPr>
      <w:r w:rsidRPr="00B048AD">
        <w:rPr>
          <w:i/>
          <w:sz w:val="22"/>
          <w:szCs w:val="22"/>
          <w:lang w:val="en-US"/>
        </w:rPr>
        <w:t>For each rating action, a link to a report describing the methodology used for such rating action will allow the investor a clearer understanding. If possible a clear specification of the reasons for such rating action should also be provided, e.g. the most important reasons as described in the CRA press release. Those reasons should be labeled in a clear and standardized fashion in order to allow a simple comparison between CRAs.</w:t>
      </w:r>
    </w:p>
    <w:p w:rsidR="00E16818" w:rsidRPr="000C68C9" w:rsidRDefault="00E16818" w:rsidP="00E16818">
      <w:pPr>
        <w:pStyle w:val="Default"/>
        <w:numPr>
          <w:ilvl w:val="1"/>
          <w:numId w:val="17"/>
        </w:numPr>
        <w:rPr>
          <w:i/>
          <w:sz w:val="22"/>
          <w:szCs w:val="22"/>
          <w:lang w:val="en-US"/>
        </w:rPr>
      </w:pPr>
      <w:r w:rsidRPr="000C68C9">
        <w:rPr>
          <w:i/>
          <w:sz w:val="22"/>
          <w:szCs w:val="22"/>
          <w:lang w:val="en-US"/>
        </w:rPr>
        <w:t>The ratings might be published together with the Credit Quality Step they are mapped to for the purpose of credit risk STD own funds requirements computations. This would also ease the comparison across ratings, and emphasize when the opinions of the agencies are spread.</w:t>
      </w:r>
    </w:p>
    <w:p w:rsidR="00E16818" w:rsidRPr="000C68C9" w:rsidRDefault="00E16818" w:rsidP="00E16818">
      <w:pPr>
        <w:pStyle w:val="Default"/>
        <w:ind w:left="1440"/>
        <w:rPr>
          <w:i/>
          <w:sz w:val="22"/>
          <w:szCs w:val="22"/>
          <w:lang w:val="en-US"/>
        </w:rPr>
      </w:pPr>
    </w:p>
    <w:p w:rsidR="00E16818" w:rsidRPr="00E837F4" w:rsidRDefault="00E16818" w:rsidP="00E16818">
      <w:pPr>
        <w:pStyle w:val="Default"/>
        <w:rPr>
          <w:sz w:val="22"/>
          <w:szCs w:val="22"/>
          <w:lang w:val="en-US"/>
        </w:rPr>
      </w:pPr>
    </w:p>
    <w:p w:rsidR="00E16818" w:rsidRPr="00E837F4" w:rsidRDefault="00E16818" w:rsidP="00E16818">
      <w:pPr>
        <w:pStyle w:val="Default"/>
        <w:rPr>
          <w:sz w:val="22"/>
          <w:szCs w:val="22"/>
          <w:lang w:val="en-US"/>
        </w:rPr>
      </w:pPr>
      <w:r w:rsidRPr="00E837F4">
        <w:rPr>
          <w:b/>
          <w:bCs/>
          <w:sz w:val="22"/>
          <w:szCs w:val="22"/>
          <w:lang w:val="en-US"/>
        </w:rPr>
        <w:t xml:space="preserve">III.II. Display up-to-date rating information </w:t>
      </w:r>
    </w:p>
    <w:p w:rsidR="00E16818" w:rsidRDefault="00E16818" w:rsidP="00E16818">
      <w:pPr>
        <w:pStyle w:val="Default"/>
        <w:numPr>
          <w:ilvl w:val="0"/>
          <w:numId w:val="17"/>
        </w:numPr>
        <w:rPr>
          <w:sz w:val="22"/>
          <w:szCs w:val="22"/>
          <w:lang w:val="en-US"/>
        </w:rPr>
      </w:pPr>
      <w:r w:rsidRPr="00E837F4">
        <w:rPr>
          <w:sz w:val="22"/>
          <w:szCs w:val="22"/>
          <w:lang w:val="en-US"/>
        </w:rPr>
        <w:t>Q24: Particularly for users of ratings: Which option do you consider as the best option for displaying the data on the new ERP? Please specify the specific time frames (if dif</w:t>
      </w:r>
      <w:r>
        <w:rPr>
          <w:sz w:val="22"/>
          <w:szCs w:val="22"/>
          <w:lang w:val="en-US"/>
        </w:rPr>
        <w:t>ferent from the proposed ones).</w:t>
      </w:r>
    </w:p>
    <w:p w:rsidR="00E16818" w:rsidRDefault="00E16818" w:rsidP="00E16818">
      <w:pPr>
        <w:pStyle w:val="Default"/>
        <w:numPr>
          <w:ilvl w:val="1"/>
          <w:numId w:val="17"/>
        </w:numPr>
        <w:rPr>
          <w:i/>
          <w:sz w:val="22"/>
          <w:szCs w:val="22"/>
          <w:lang w:val="en-US"/>
        </w:rPr>
      </w:pPr>
      <w:r w:rsidRPr="00D50BC3">
        <w:rPr>
          <w:i/>
          <w:sz w:val="22"/>
          <w:szCs w:val="22"/>
          <w:lang w:val="en-US"/>
        </w:rPr>
        <w:t xml:space="preserve">We favor option </w:t>
      </w:r>
      <w:r>
        <w:rPr>
          <w:i/>
          <w:sz w:val="22"/>
          <w:szCs w:val="22"/>
          <w:lang w:val="en-US"/>
        </w:rPr>
        <w:t xml:space="preserve">(c) </w:t>
      </w:r>
      <w:r w:rsidRPr="00D50BC3">
        <w:rPr>
          <w:i/>
          <w:sz w:val="22"/>
          <w:szCs w:val="22"/>
          <w:lang w:val="en-US"/>
        </w:rPr>
        <w:t xml:space="preserve">for similar reasons to Q10. Option (a) lacks any safeguard. </w:t>
      </w:r>
      <w:r>
        <w:rPr>
          <w:i/>
          <w:sz w:val="22"/>
          <w:szCs w:val="22"/>
          <w:lang w:val="en-US"/>
        </w:rPr>
        <w:t>Option (c) or (d) are more secured in such regard but the ERP risk providing information which is already available through other means (Bloomberg, Reuters, CRAs website, etc…). However the diffusion of the information should occur early (before 9.30).</w:t>
      </w:r>
    </w:p>
    <w:p w:rsidR="00E16818" w:rsidRPr="00D50BC3" w:rsidRDefault="00E16818" w:rsidP="00E16818">
      <w:pPr>
        <w:pStyle w:val="Default"/>
        <w:ind w:left="1440"/>
        <w:rPr>
          <w:i/>
          <w:sz w:val="22"/>
          <w:szCs w:val="22"/>
          <w:lang w:val="en-US"/>
        </w:rPr>
      </w:pPr>
    </w:p>
    <w:p w:rsidR="00E16818" w:rsidRDefault="00E16818" w:rsidP="00E16818">
      <w:pPr>
        <w:pStyle w:val="Default"/>
        <w:numPr>
          <w:ilvl w:val="0"/>
          <w:numId w:val="17"/>
        </w:numPr>
        <w:rPr>
          <w:sz w:val="22"/>
          <w:szCs w:val="22"/>
          <w:lang w:val="en-US"/>
        </w:rPr>
      </w:pPr>
      <w:r w:rsidRPr="00E837F4">
        <w:rPr>
          <w:sz w:val="22"/>
          <w:szCs w:val="22"/>
          <w:lang w:val="en-US"/>
        </w:rPr>
        <w:t>Q25: Particularly for users of ratings: As regards</w:t>
      </w:r>
      <w:r w:rsidRPr="007D2A4E">
        <w:rPr>
          <w:sz w:val="22"/>
          <w:szCs w:val="22"/>
          <w:lang w:val="en-US"/>
        </w:rPr>
        <w:t xml:space="preserve"> </w:t>
      </w:r>
      <w:r w:rsidRPr="00E837F4">
        <w:rPr>
          <w:sz w:val="22"/>
          <w:szCs w:val="22"/>
          <w:lang w:val="en-US"/>
        </w:rPr>
        <w:t xml:space="preserve">options (c) and (d), in case of the ratings reported on a Friday or before a bank holiday, when the rating information has to be made available on the ERP: on the next calendar day or the next working day? </w:t>
      </w:r>
    </w:p>
    <w:p w:rsidR="00E16818" w:rsidRDefault="00E16818" w:rsidP="00E16818">
      <w:pPr>
        <w:pStyle w:val="Default"/>
        <w:numPr>
          <w:ilvl w:val="1"/>
          <w:numId w:val="17"/>
        </w:numPr>
        <w:rPr>
          <w:i/>
          <w:sz w:val="22"/>
          <w:szCs w:val="22"/>
          <w:lang w:val="en-US"/>
        </w:rPr>
      </w:pPr>
      <w:r w:rsidRPr="0069764D">
        <w:rPr>
          <w:i/>
          <w:sz w:val="22"/>
          <w:szCs w:val="22"/>
          <w:lang w:val="en-US"/>
        </w:rPr>
        <w:t>The next working day is sufficient if based on the TARGET calendar.</w:t>
      </w:r>
    </w:p>
    <w:p w:rsidR="00E16818" w:rsidRPr="0069764D" w:rsidRDefault="00E16818" w:rsidP="00E16818">
      <w:pPr>
        <w:pStyle w:val="Default"/>
        <w:ind w:left="1440"/>
        <w:rPr>
          <w:i/>
          <w:sz w:val="22"/>
          <w:szCs w:val="22"/>
          <w:lang w:val="en-US"/>
        </w:rPr>
      </w:pPr>
    </w:p>
    <w:p w:rsidR="00E16818" w:rsidRDefault="00E16818" w:rsidP="00E16818">
      <w:pPr>
        <w:pStyle w:val="Default"/>
        <w:numPr>
          <w:ilvl w:val="0"/>
          <w:numId w:val="17"/>
        </w:numPr>
        <w:rPr>
          <w:sz w:val="22"/>
          <w:szCs w:val="22"/>
          <w:lang w:val="en-US"/>
        </w:rPr>
      </w:pPr>
      <w:r w:rsidRPr="00E837F4">
        <w:rPr>
          <w:sz w:val="22"/>
          <w:szCs w:val="22"/>
          <w:lang w:val="en-US"/>
        </w:rPr>
        <w:t xml:space="preserve">Q26: Particularly for CRAs: which of the two possible ways of sending the new rating/outlook information to the ERP is more suitable to be integrated in your IT system: the real-time automatic data-feeds or one daily batch? Please provide a detailed motivation for your choice and include in your answer also reference to the actual costs that you would incur under the different submission options. </w:t>
      </w:r>
    </w:p>
    <w:p w:rsidR="00E16818" w:rsidRPr="00E837F4" w:rsidRDefault="00E16818" w:rsidP="00E16818">
      <w:pPr>
        <w:pStyle w:val="Default"/>
        <w:ind w:left="720"/>
        <w:rPr>
          <w:sz w:val="22"/>
          <w:szCs w:val="22"/>
          <w:lang w:val="en-US"/>
        </w:rPr>
      </w:pPr>
    </w:p>
    <w:p w:rsidR="00E16818" w:rsidRDefault="00E16818" w:rsidP="00E16818">
      <w:pPr>
        <w:pStyle w:val="Default"/>
        <w:numPr>
          <w:ilvl w:val="0"/>
          <w:numId w:val="17"/>
        </w:numPr>
        <w:rPr>
          <w:sz w:val="22"/>
          <w:szCs w:val="22"/>
          <w:lang w:val="en-US"/>
        </w:rPr>
      </w:pPr>
      <w:r w:rsidRPr="00E837F4">
        <w:rPr>
          <w:sz w:val="22"/>
          <w:szCs w:val="22"/>
          <w:lang w:val="en-US"/>
        </w:rPr>
        <w:t>Q27: Can you suggest any other options for reporting the rating information to ESMA and for the publishing of the received rating informa</w:t>
      </w:r>
      <w:r>
        <w:rPr>
          <w:sz w:val="22"/>
          <w:szCs w:val="22"/>
          <w:lang w:val="en-US"/>
        </w:rPr>
        <w:t>tion on the ERP?</w:t>
      </w:r>
    </w:p>
    <w:p w:rsidR="00E16818" w:rsidRPr="00E837F4" w:rsidRDefault="00E16818" w:rsidP="00E16818">
      <w:pPr>
        <w:pStyle w:val="Default"/>
        <w:rPr>
          <w:sz w:val="22"/>
          <w:szCs w:val="22"/>
          <w:lang w:val="en-US"/>
        </w:rPr>
      </w:pPr>
    </w:p>
    <w:p w:rsidR="00E16818" w:rsidRPr="00E837F4" w:rsidRDefault="00E16818" w:rsidP="00E16818">
      <w:pPr>
        <w:pStyle w:val="Default"/>
        <w:rPr>
          <w:sz w:val="22"/>
          <w:szCs w:val="22"/>
          <w:lang w:val="en-US"/>
        </w:rPr>
      </w:pPr>
      <w:r w:rsidRPr="00E837F4">
        <w:rPr>
          <w:b/>
          <w:bCs/>
          <w:sz w:val="22"/>
          <w:szCs w:val="22"/>
          <w:lang w:val="en-US"/>
        </w:rPr>
        <w:t xml:space="preserve">III.III. Allow the possibility to compare all ratings available for a given issuer / instrument </w:t>
      </w:r>
    </w:p>
    <w:p w:rsidR="00E16818" w:rsidRDefault="00E16818" w:rsidP="00E16818">
      <w:pPr>
        <w:pStyle w:val="Default"/>
        <w:numPr>
          <w:ilvl w:val="0"/>
          <w:numId w:val="17"/>
        </w:numPr>
        <w:rPr>
          <w:sz w:val="22"/>
          <w:szCs w:val="22"/>
          <w:lang w:val="en-US"/>
        </w:rPr>
      </w:pPr>
      <w:r w:rsidRPr="00E837F4">
        <w:rPr>
          <w:sz w:val="22"/>
          <w:szCs w:val="22"/>
          <w:lang w:val="en-US"/>
        </w:rPr>
        <w:t>Q28: Particularly for users of ratings: Which information should be added to the rating information to facilitate the comparison across ratings from different CRAs on the same entity while avoiding misunderstanding on the meaning of each rating? Under</w:t>
      </w:r>
      <w:r w:rsidRPr="008E2EC8">
        <w:rPr>
          <w:sz w:val="22"/>
          <w:szCs w:val="22"/>
          <w:lang w:val="en-US"/>
        </w:rPr>
        <w:t xml:space="preserve"> </w:t>
      </w:r>
      <w:r w:rsidRPr="00E837F4">
        <w:rPr>
          <w:sz w:val="22"/>
          <w:szCs w:val="22"/>
          <w:lang w:val="en-US"/>
        </w:rPr>
        <w:t>which form should this information be displayed (full reports, aggregated information, direct links, reference to the CRAs website, etc)?</w:t>
      </w:r>
    </w:p>
    <w:p w:rsidR="00E16818" w:rsidRDefault="00E16818" w:rsidP="00E16818">
      <w:pPr>
        <w:pStyle w:val="Default"/>
        <w:numPr>
          <w:ilvl w:val="1"/>
          <w:numId w:val="17"/>
        </w:numPr>
        <w:rPr>
          <w:i/>
          <w:sz w:val="22"/>
          <w:szCs w:val="22"/>
          <w:lang w:val="en-US"/>
        </w:rPr>
      </w:pPr>
      <w:r w:rsidRPr="00525389">
        <w:rPr>
          <w:i/>
          <w:sz w:val="22"/>
          <w:szCs w:val="22"/>
          <w:lang w:val="en-US"/>
        </w:rPr>
        <w:t xml:space="preserve">A mapping should be developed to ease the comparison (see Q35/Q36). Such mapping should be based on the </w:t>
      </w:r>
      <w:r>
        <w:rPr>
          <w:i/>
          <w:sz w:val="22"/>
          <w:szCs w:val="22"/>
          <w:lang w:val="en-US"/>
        </w:rPr>
        <w:t>observed</w:t>
      </w:r>
      <w:r w:rsidRPr="00525389">
        <w:rPr>
          <w:i/>
          <w:sz w:val="22"/>
          <w:szCs w:val="22"/>
          <w:lang w:val="en-US"/>
        </w:rPr>
        <w:t xml:space="preserve"> historical default </w:t>
      </w:r>
      <w:proofErr w:type="gramStart"/>
      <w:r w:rsidRPr="00525389">
        <w:rPr>
          <w:i/>
          <w:sz w:val="22"/>
          <w:szCs w:val="22"/>
          <w:lang w:val="en-US"/>
        </w:rPr>
        <w:t>rates</w:t>
      </w:r>
      <w:r>
        <w:rPr>
          <w:i/>
          <w:sz w:val="22"/>
          <w:szCs w:val="22"/>
          <w:lang w:val="en-US"/>
        </w:rPr>
        <w:t>,</w:t>
      </w:r>
      <w:proofErr w:type="gramEnd"/>
      <w:r>
        <w:rPr>
          <w:i/>
          <w:sz w:val="22"/>
          <w:szCs w:val="22"/>
          <w:lang w:val="en-US"/>
        </w:rPr>
        <w:t xml:space="preserve"> </w:t>
      </w:r>
      <w:r w:rsidRPr="00525389">
        <w:rPr>
          <w:i/>
          <w:sz w:val="22"/>
          <w:szCs w:val="22"/>
          <w:lang w:val="en-US"/>
        </w:rPr>
        <w:t>in a similar approach to the EBA mapping exercise</w:t>
      </w:r>
      <w:r>
        <w:rPr>
          <w:i/>
          <w:sz w:val="22"/>
          <w:szCs w:val="22"/>
          <w:lang w:val="en-US"/>
        </w:rPr>
        <w:t xml:space="preserve"> </w:t>
      </w:r>
      <w:r w:rsidRPr="00CE1D34">
        <w:rPr>
          <w:i/>
          <w:sz w:val="22"/>
          <w:szCs w:val="22"/>
          <w:lang w:val="en-US"/>
        </w:rPr>
        <w:t>(The mapping currently developed by the EBA will be made publicly available in the course of next year).</w:t>
      </w:r>
      <w:r w:rsidRPr="00525389">
        <w:rPr>
          <w:i/>
          <w:sz w:val="22"/>
          <w:szCs w:val="22"/>
          <w:lang w:val="en-US"/>
        </w:rPr>
        <w:t xml:space="preserve"> In addition, the meaning of each rating should be described in a full report, including the references to specific </w:t>
      </w:r>
      <w:proofErr w:type="spellStart"/>
      <w:r w:rsidRPr="00525389">
        <w:rPr>
          <w:i/>
          <w:sz w:val="22"/>
          <w:szCs w:val="22"/>
          <w:lang w:val="en-US"/>
        </w:rPr>
        <w:t>webpages</w:t>
      </w:r>
      <w:proofErr w:type="spellEnd"/>
      <w:r w:rsidRPr="00525389">
        <w:rPr>
          <w:i/>
          <w:sz w:val="22"/>
          <w:szCs w:val="22"/>
          <w:lang w:val="en-US"/>
        </w:rPr>
        <w:t>/report of the CRAs.</w:t>
      </w:r>
    </w:p>
    <w:p w:rsidR="00E16818" w:rsidRDefault="00E16818" w:rsidP="00E16818">
      <w:pPr>
        <w:pStyle w:val="Default"/>
        <w:numPr>
          <w:ilvl w:val="1"/>
          <w:numId w:val="17"/>
        </w:numPr>
        <w:rPr>
          <w:i/>
          <w:sz w:val="22"/>
          <w:szCs w:val="22"/>
          <w:lang w:val="en-US"/>
        </w:rPr>
      </w:pPr>
      <w:r>
        <w:rPr>
          <w:i/>
          <w:sz w:val="22"/>
          <w:szCs w:val="22"/>
          <w:lang w:val="en-US"/>
        </w:rPr>
        <w:t>For an entity and a specific debt, the explicit name of the debt or its program should be added. Indeed only generic labels are used currently (“Short-term Program” or “Commercial Paper Program”), where we would prefer to see an exact specification (ex: “French CD Program”, “ECP Program” or “London CD Program”).</w:t>
      </w:r>
    </w:p>
    <w:p w:rsidR="00E16818" w:rsidRDefault="00E16818" w:rsidP="00E16818">
      <w:pPr>
        <w:pStyle w:val="Default"/>
        <w:numPr>
          <w:ilvl w:val="1"/>
          <w:numId w:val="17"/>
        </w:numPr>
        <w:rPr>
          <w:i/>
          <w:sz w:val="22"/>
          <w:szCs w:val="22"/>
          <w:lang w:val="en-US"/>
        </w:rPr>
      </w:pPr>
      <w:r>
        <w:rPr>
          <w:i/>
          <w:sz w:val="22"/>
          <w:szCs w:val="22"/>
          <w:lang w:val="en-US"/>
        </w:rPr>
        <w:t>It should be made clear also that the definition of default of the CRAs can vary from one to another (and to which extent) and is also different from the banking regulation.</w:t>
      </w:r>
    </w:p>
    <w:p w:rsidR="00E16818" w:rsidRDefault="00E16818" w:rsidP="00E16818">
      <w:pPr>
        <w:pStyle w:val="Default"/>
        <w:ind w:left="1440"/>
        <w:rPr>
          <w:i/>
          <w:sz w:val="22"/>
          <w:szCs w:val="22"/>
          <w:lang w:val="en-US"/>
        </w:rPr>
      </w:pPr>
    </w:p>
    <w:p w:rsidR="00E16818" w:rsidRPr="00E837F4" w:rsidRDefault="00E16818" w:rsidP="00E16818">
      <w:pPr>
        <w:pStyle w:val="Default"/>
        <w:numPr>
          <w:ilvl w:val="0"/>
          <w:numId w:val="17"/>
        </w:numPr>
        <w:rPr>
          <w:sz w:val="22"/>
          <w:szCs w:val="22"/>
          <w:lang w:val="en-US"/>
        </w:rPr>
      </w:pPr>
      <w:r w:rsidRPr="00E837F4">
        <w:rPr>
          <w:sz w:val="22"/>
          <w:szCs w:val="22"/>
          <w:lang w:val="en-US"/>
        </w:rPr>
        <w:t xml:space="preserve">Q29: Particularly for CRAs: Do CRAs envisage any difficulties on mapping your current internal identifiers with the new LEI for the rated entities? </w:t>
      </w:r>
    </w:p>
    <w:p w:rsidR="00E16818" w:rsidRDefault="00E16818" w:rsidP="00E16818">
      <w:pPr>
        <w:pStyle w:val="Default"/>
        <w:numPr>
          <w:ilvl w:val="0"/>
          <w:numId w:val="17"/>
        </w:numPr>
        <w:rPr>
          <w:sz w:val="22"/>
          <w:szCs w:val="22"/>
          <w:lang w:val="en-US"/>
        </w:rPr>
      </w:pPr>
      <w:r w:rsidRPr="00E837F4">
        <w:rPr>
          <w:sz w:val="22"/>
          <w:szCs w:val="22"/>
          <w:lang w:val="en-US"/>
        </w:rPr>
        <w:t>Q30: Particularly for CRAs: Are there other common issuer identifiers that the ERP could use in order to allow for a mapping of rated entities?</w:t>
      </w:r>
    </w:p>
    <w:p w:rsidR="00E16818" w:rsidRPr="00E837F4" w:rsidRDefault="00E16818" w:rsidP="00E16818">
      <w:pPr>
        <w:pStyle w:val="Default"/>
        <w:rPr>
          <w:sz w:val="22"/>
          <w:szCs w:val="22"/>
          <w:lang w:val="en-US"/>
        </w:rPr>
      </w:pPr>
    </w:p>
    <w:p w:rsidR="00E16818" w:rsidRPr="00E837F4" w:rsidRDefault="00E16818" w:rsidP="00E16818">
      <w:pPr>
        <w:pStyle w:val="Default"/>
        <w:rPr>
          <w:sz w:val="22"/>
          <w:szCs w:val="22"/>
          <w:lang w:val="en-US"/>
        </w:rPr>
      </w:pPr>
      <w:r w:rsidRPr="00E837F4">
        <w:rPr>
          <w:b/>
          <w:bCs/>
          <w:sz w:val="22"/>
          <w:szCs w:val="22"/>
          <w:lang w:val="en-US"/>
        </w:rPr>
        <w:t xml:space="preserve">III.IV. Provide an easy access to information to all users </w:t>
      </w:r>
    </w:p>
    <w:p w:rsidR="00E16818" w:rsidRDefault="00E16818" w:rsidP="00E16818">
      <w:pPr>
        <w:pStyle w:val="Default"/>
        <w:numPr>
          <w:ilvl w:val="0"/>
          <w:numId w:val="17"/>
        </w:numPr>
        <w:rPr>
          <w:sz w:val="22"/>
          <w:szCs w:val="22"/>
          <w:lang w:val="en-US"/>
        </w:rPr>
      </w:pPr>
      <w:r w:rsidRPr="00E837F4">
        <w:rPr>
          <w:sz w:val="22"/>
          <w:szCs w:val="22"/>
          <w:lang w:val="en-US"/>
        </w:rPr>
        <w:t>Q31: Particularly for users of ratings: Could you provide suggestions on how ERP could present the rating information so as to allow an easy access and understanding of the rating data? If possible please provide a clear description and/or a visual represent</w:t>
      </w:r>
      <w:r>
        <w:rPr>
          <w:sz w:val="22"/>
          <w:szCs w:val="22"/>
          <w:lang w:val="en-US"/>
        </w:rPr>
        <w:t>ation like the one given above.</w:t>
      </w:r>
    </w:p>
    <w:p w:rsidR="00E16818" w:rsidRDefault="00E16818" w:rsidP="00E16818">
      <w:pPr>
        <w:pStyle w:val="Default"/>
        <w:numPr>
          <w:ilvl w:val="1"/>
          <w:numId w:val="17"/>
        </w:numPr>
        <w:rPr>
          <w:i/>
          <w:sz w:val="22"/>
          <w:szCs w:val="22"/>
          <w:lang w:val="en-US"/>
        </w:rPr>
      </w:pPr>
      <w:r w:rsidRPr="00D62734">
        <w:rPr>
          <w:i/>
          <w:sz w:val="22"/>
          <w:szCs w:val="22"/>
          <w:lang w:val="en-US"/>
        </w:rPr>
        <w:t>In addition to the CRA’s rating, the mapped rating should be provided to allow a simpler comparison across CRAs. ESMA should also provide means of accessing the ERP data in an automated fashion (see as an example data.worldbank.org/node/9).</w:t>
      </w:r>
    </w:p>
    <w:p w:rsidR="00E16818" w:rsidRDefault="00E16818" w:rsidP="00E16818">
      <w:pPr>
        <w:pStyle w:val="Default"/>
        <w:numPr>
          <w:ilvl w:val="1"/>
          <w:numId w:val="17"/>
        </w:numPr>
        <w:rPr>
          <w:i/>
          <w:sz w:val="22"/>
          <w:szCs w:val="22"/>
          <w:lang w:val="en-US"/>
        </w:rPr>
      </w:pPr>
      <w:r>
        <w:rPr>
          <w:i/>
          <w:sz w:val="22"/>
          <w:szCs w:val="22"/>
          <w:lang w:val="en-US"/>
        </w:rPr>
        <w:t>A comparison between rating methodologies between CRAs should also be provided in order for investors to distinguish between CRAs. In addition the discrepancies between the methodologies implying the short-term or long-term ratings should be detailed.</w:t>
      </w:r>
    </w:p>
    <w:p w:rsidR="00E16818" w:rsidRPr="00D62734" w:rsidRDefault="00E16818" w:rsidP="00E16818">
      <w:pPr>
        <w:pStyle w:val="Default"/>
        <w:ind w:left="1440"/>
        <w:rPr>
          <w:i/>
          <w:sz w:val="22"/>
          <w:szCs w:val="22"/>
          <w:lang w:val="en-US"/>
        </w:rPr>
      </w:pPr>
    </w:p>
    <w:p w:rsidR="00E16818" w:rsidRDefault="00E16818" w:rsidP="00E16818">
      <w:pPr>
        <w:pStyle w:val="Default"/>
        <w:numPr>
          <w:ilvl w:val="0"/>
          <w:numId w:val="17"/>
        </w:numPr>
        <w:rPr>
          <w:sz w:val="22"/>
          <w:szCs w:val="22"/>
          <w:lang w:val="en-US"/>
        </w:rPr>
      </w:pPr>
      <w:r w:rsidRPr="00E837F4">
        <w:rPr>
          <w:sz w:val="22"/>
          <w:szCs w:val="22"/>
          <w:lang w:val="en-US"/>
        </w:rPr>
        <w:t>Q32: Particularly for users of ratings: Besides the access via a web page, which other means of accessing the</w:t>
      </w:r>
      <w:r>
        <w:rPr>
          <w:sz w:val="22"/>
          <w:szCs w:val="22"/>
          <w:lang w:val="en-US"/>
        </w:rPr>
        <w:t xml:space="preserve"> ERP do you consider relevant?</w:t>
      </w:r>
    </w:p>
    <w:p w:rsidR="00E16818" w:rsidRDefault="00E16818" w:rsidP="00E16818">
      <w:pPr>
        <w:pStyle w:val="Default"/>
        <w:numPr>
          <w:ilvl w:val="1"/>
          <w:numId w:val="17"/>
        </w:numPr>
        <w:rPr>
          <w:i/>
          <w:sz w:val="22"/>
          <w:szCs w:val="22"/>
          <w:lang w:val="en-US"/>
        </w:rPr>
      </w:pPr>
      <w:r w:rsidRPr="00464325">
        <w:rPr>
          <w:i/>
          <w:sz w:val="22"/>
          <w:szCs w:val="22"/>
          <w:lang w:val="en-US"/>
        </w:rPr>
        <w:t>Alert messages could also be developed for registered users of ERP so that any changes in the rating of a predefined list of issuers result in a mail to such users.</w:t>
      </w:r>
    </w:p>
    <w:p w:rsidR="00E16818" w:rsidRPr="00464325" w:rsidRDefault="00E16818" w:rsidP="00E16818">
      <w:pPr>
        <w:pStyle w:val="Default"/>
        <w:numPr>
          <w:ilvl w:val="1"/>
          <w:numId w:val="17"/>
        </w:numPr>
        <w:rPr>
          <w:i/>
          <w:sz w:val="22"/>
          <w:szCs w:val="22"/>
          <w:lang w:val="en-US"/>
        </w:rPr>
      </w:pPr>
      <w:r>
        <w:rPr>
          <w:i/>
          <w:sz w:val="22"/>
          <w:szCs w:val="22"/>
          <w:lang w:val="en-US"/>
        </w:rPr>
        <w:t>A more automated access could also be provided (see Q31) via an API.</w:t>
      </w:r>
    </w:p>
    <w:p w:rsidR="00E16818" w:rsidRPr="00E837F4" w:rsidRDefault="00E16818" w:rsidP="00E16818">
      <w:pPr>
        <w:pStyle w:val="Default"/>
        <w:rPr>
          <w:sz w:val="22"/>
          <w:szCs w:val="22"/>
          <w:lang w:val="en-US"/>
        </w:rPr>
      </w:pPr>
    </w:p>
    <w:p w:rsidR="00E16818" w:rsidRPr="00E837F4" w:rsidRDefault="00E16818" w:rsidP="00E16818">
      <w:pPr>
        <w:pStyle w:val="Default"/>
        <w:rPr>
          <w:sz w:val="22"/>
          <w:szCs w:val="22"/>
          <w:lang w:val="en-US"/>
        </w:rPr>
      </w:pPr>
      <w:r w:rsidRPr="00E837F4">
        <w:rPr>
          <w:b/>
          <w:bCs/>
          <w:sz w:val="22"/>
          <w:szCs w:val="22"/>
          <w:lang w:val="en-US"/>
        </w:rPr>
        <w:t xml:space="preserve">III.V. </w:t>
      </w:r>
      <w:proofErr w:type="gramStart"/>
      <w:r w:rsidRPr="00E837F4">
        <w:rPr>
          <w:b/>
          <w:bCs/>
          <w:sz w:val="22"/>
          <w:szCs w:val="22"/>
          <w:lang w:val="en-US"/>
        </w:rPr>
        <w:t>One</w:t>
      </w:r>
      <w:proofErr w:type="gramEnd"/>
      <w:r w:rsidRPr="00E837F4">
        <w:rPr>
          <w:b/>
          <w:bCs/>
          <w:sz w:val="22"/>
          <w:szCs w:val="22"/>
          <w:lang w:val="en-US"/>
        </w:rPr>
        <w:t xml:space="preserve"> data feed: incorporate CEREP/</w:t>
      </w:r>
      <w:proofErr w:type="spellStart"/>
      <w:r w:rsidRPr="00E837F4">
        <w:rPr>
          <w:b/>
          <w:bCs/>
          <w:sz w:val="22"/>
          <w:szCs w:val="22"/>
          <w:lang w:val="en-US"/>
        </w:rPr>
        <w:t>Socrat</w:t>
      </w:r>
      <w:proofErr w:type="spellEnd"/>
      <w:r w:rsidRPr="00E837F4">
        <w:rPr>
          <w:b/>
          <w:bCs/>
          <w:sz w:val="22"/>
          <w:szCs w:val="22"/>
          <w:lang w:val="en-US"/>
        </w:rPr>
        <w:t xml:space="preserve"> into the ERP </w:t>
      </w:r>
    </w:p>
    <w:p w:rsidR="00E16818" w:rsidRDefault="00E16818" w:rsidP="00E16818">
      <w:pPr>
        <w:pStyle w:val="Default"/>
        <w:numPr>
          <w:ilvl w:val="0"/>
          <w:numId w:val="17"/>
        </w:numPr>
        <w:rPr>
          <w:sz w:val="22"/>
          <w:szCs w:val="22"/>
          <w:lang w:val="en-US"/>
        </w:rPr>
      </w:pPr>
      <w:r w:rsidRPr="00E837F4">
        <w:rPr>
          <w:sz w:val="22"/>
          <w:szCs w:val="22"/>
          <w:lang w:val="en-US"/>
        </w:rPr>
        <w:t>Q33: Particularly for CRAs: Would you agree with having just one individual data feed to ESMA in order to repor</w:t>
      </w:r>
      <w:r>
        <w:rPr>
          <w:sz w:val="22"/>
          <w:szCs w:val="22"/>
          <w:lang w:val="en-US"/>
        </w:rPr>
        <w:t>t to the ERP, CEREP and SOCRAT?</w:t>
      </w:r>
    </w:p>
    <w:p w:rsidR="00E16818" w:rsidRPr="00E837F4" w:rsidRDefault="00E16818" w:rsidP="00E16818">
      <w:pPr>
        <w:pStyle w:val="Default"/>
        <w:rPr>
          <w:sz w:val="22"/>
          <w:szCs w:val="22"/>
          <w:lang w:val="en-US"/>
        </w:rPr>
      </w:pPr>
    </w:p>
    <w:p w:rsidR="00E16818" w:rsidRPr="00E837F4" w:rsidRDefault="00E16818" w:rsidP="00E16818">
      <w:pPr>
        <w:pStyle w:val="Default"/>
        <w:rPr>
          <w:sz w:val="22"/>
          <w:szCs w:val="22"/>
          <w:lang w:val="en-US"/>
        </w:rPr>
      </w:pPr>
      <w:r w:rsidRPr="00E837F4">
        <w:rPr>
          <w:b/>
          <w:bCs/>
          <w:sz w:val="22"/>
          <w:szCs w:val="22"/>
          <w:lang w:val="en-US"/>
        </w:rPr>
        <w:t xml:space="preserve">III.VI. Historical data </w:t>
      </w:r>
    </w:p>
    <w:p w:rsidR="00E16818" w:rsidRDefault="00E16818" w:rsidP="00E16818">
      <w:pPr>
        <w:pStyle w:val="Default"/>
        <w:numPr>
          <w:ilvl w:val="0"/>
          <w:numId w:val="17"/>
        </w:numPr>
        <w:rPr>
          <w:sz w:val="22"/>
          <w:szCs w:val="22"/>
          <w:lang w:val="en-US"/>
        </w:rPr>
      </w:pPr>
      <w:r w:rsidRPr="00E837F4">
        <w:rPr>
          <w:sz w:val="22"/>
          <w:szCs w:val="22"/>
          <w:lang w:val="en-US"/>
        </w:rPr>
        <w:t>Q34: Particularly for users of ratings: do you agree with the proposed option? (</w:t>
      </w:r>
      <w:proofErr w:type="gramStart"/>
      <w:r w:rsidRPr="00E837F4">
        <w:rPr>
          <w:sz w:val="22"/>
          <w:szCs w:val="22"/>
          <w:lang w:val="en-US"/>
        </w:rPr>
        <w:t>please</w:t>
      </w:r>
      <w:proofErr w:type="gramEnd"/>
      <w:r w:rsidRPr="00E837F4">
        <w:rPr>
          <w:sz w:val="22"/>
          <w:szCs w:val="22"/>
          <w:lang w:val="en-US"/>
        </w:rPr>
        <w:t xml:space="preserve"> state th</w:t>
      </w:r>
      <w:r>
        <w:rPr>
          <w:sz w:val="22"/>
          <w:szCs w:val="22"/>
          <w:lang w:val="en-US"/>
        </w:rPr>
        <w:t>e reasons for your preference).</w:t>
      </w:r>
    </w:p>
    <w:p w:rsidR="00E16818" w:rsidRPr="00E837F4" w:rsidRDefault="00E16818" w:rsidP="00E16818">
      <w:pPr>
        <w:pStyle w:val="Default"/>
        <w:rPr>
          <w:sz w:val="22"/>
          <w:szCs w:val="22"/>
          <w:lang w:val="en-US"/>
        </w:rPr>
      </w:pPr>
    </w:p>
    <w:p w:rsidR="00E16818" w:rsidRPr="00E837F4" w:rsidRDefault="00E16818" w:rsidP="00E16818">
      <w:pPr>
        <w:pStyle w:val="Default"/>
        <w:rPr>
          <w:sz w:val="22"/>
          <w:szCs w:val="22"/>
          <w:lang w:val="en-US"/>
        </w:rPr>
      </w:pPr>
      <w:r w:rsidRPr="00E837F4">
        <w:rPr>
          <w:b/>
          <w:bCs/>
          <w:sz w:val="22"/>
          <w:szCs w:val="22"/>
          <w:lang w:val="en-US"/>
        </w:rPr>
        <w:t xml:space="preserve">III.VII. Mapping of credit ratings </w:t>
      </w:r>
    </w:p>
    <w:p w:rsidR="00E16818" w:rsidRDefault="00E16818" w:rsidP="00E16818">
      <w:pPr>
        <w:pStyle w:val="Default"/>
        <w:numPr>
          <w:ilvl w:val="0"/>
          <w:numId w:val="17"/>
        </w:numPr>
        <w:rPr>
          <w:sz w:val="22"/>
          <w:szCs w:val="22"/>
          <w:lang w:val="en-US"/>
        </w:rPr>
      </w:pPr>
      <w:r w:rsidRPr="00E837F4">
        <w:rPr>
          <w:sz w:val="22"/>
          <w:szCs w:val="22"/>
          <w:lang w:val="en-US"/>
        </w:rPr>
        <w:t>Q35: Particularly for rating users: Do you consider it of use that the ERP would provide for a mapping of rating scales to improve the comparabilit</w:t>
      </w:r>
      <w:r>
        <w:rPr>
          <w:sz w:val="22"/>
          <w:szCs w:val="22"/>
          <w:lang w:val="en-US"/>
        </w:rPr>
        <w:t>y of ratings of different CRAs?</w:t>
      </w:r>
    </w:p>
    <w:p w:rsidR="00E16818" w:rsidRDefault="00E16818" w:rsidP="00E16818">
      <w:pPr>
        <w:pStyle w:val="Default"/>
        <w:numPr>
          <w:ilvl w:val="1"/>
          <w:numId w:val="17"/>
        </w:numPr>
        <w:rPr>
          <w:i/>
          <w:sz w:val="22"/>
          <w:szCs w:val="22"/>
          <w:lang w:val="en-US"/>
        </w:rPr>
      </w:pPr>
      <w:r w:rsidRPr="00EB0C8E">
        <w:rPr>
          <w:i/>
          <w:sz w:val="22"/>
          <w:szCs w:val="22"/>
          <w:lang w:val="en-US"/>
        </w:rPr>
        <w:t xml:space="preserve">Such mapping is </w:t>
      </w:r>
      <w:proofErr w:type="gramStart"/>
      <w:r w:rsidRPr="00EB0C8E">
        <w:rPr>
          <w:i/>
          <w:sz w:val="22"/>
          <w:szCs w:val="22"/>
          <w:lang w:val="en-US"/>
        </w:rPr>
        <w:t>key</w:t>
      </w:r>
      <w:proofErr w:type="gramEnd"/>
      <w:r w:rsidRPr="00EB0C8E">
        <w:rPr>
          <w:i/>
          <w:sz w:val="22"/>
          <w:szCs w:val="22"/>
          <w:lang w:val="en-US"/>
        </w:rPr>
        <w:t xml:space="preserve"> in allowing a clear comparison between CRAs. The European Banking Authority is in the process of developing a mapping methodology for </w:t>
      </w:r>
      <w:proofErr w:type="gramStart"/>
      <w:r w:rsidRPr="00EB0C8E">
        <w:rPr>
          <w:i/>
          <w:sz w:val="22"/>
          <w:szCs w:val="22"/>
          <w:lang w:val="en-US"/>
        </w:rPr>
        <w:t>CRAs,</w:t>
      </w:r>
      <w:proofErr w:type="gramEnd"/>
      <w:r w:rsidRPr="00EB0C8E">
        <w:rPr>
          <w:i/>
          <w:sz w:val="22"/>
          <w:szCs w:val="22"/>
          <w:lang w:val="en-US"/>
        </w:rPr>
        <w:t xml:space="preserve"> such exercise </w:t>
      </w:r>
      <w:r>
        <w:rPr>
          <w:i/>
          <w:sz w:val="22"/>
          <w:szCs w:val="22"/>
          <w:lang w:val="en-US"/>
        </w:rPr>
        <w:t>sh</w:t>
      </w:r>
      <w:r w:rsidRPr="00EB0C8E">
        <w:rPr>
          <w:i/>
          <w:sz w:val="22"/>
          <w:szCs w:val="22"/>
          <w:lang w:val="en-US"/>
        </w:rPr>
        <w:t>ould provide a basis for the establishment of the ESMA mapping.</w:t>
      </w:r>
    </w:p>
    <w:p w:rsidR="00E16818" w:rsidRDefault="00E16818" w:rsidP="00E16818">
      <w:pPr>
        <w:pStyle w:val="Default"/>
        <w:numPr>
          <w:ilvl w:val="1"/>
          <w:numId w:val="17"/>
        </w:numPr>
        <w:rPr>
          <w:i/>
          <w:sz w:val="22"/>
          <w:szCs w:val="22"/>
          <w:lang w:val="en-US"/>
        </w:rPr>
      </w:pPr>
      <w:r>
        <w:rPr>
          <w:i/>
          <w:sz w:val="22"/>
          <w:szCs w:val="22"/>
          <w:lang w:val="en-US"/>
        </w:rPr>
        <w:t>However ESMA should make it clear that such mapping will not be used or linked in any way to the Eurosystem and its collateral risk management.</w:t>
      </w:r>
    </w:p>
    <w:p w:rsidR="00E16818" w:rsidRDefault="00E16818" w:rsidP="00E16818">
      <w:pPr>
        <w:pStyle w:val="Default"/>
        <w:ind w:left="1440"/>
        <w:rPr>
          <w:i/>
          <w:sz w:val="22"/>
          <w:szCs w:val="22"/>
          <w:lang w:val="en-US"/>
        </w:rPr>
      </w:pPr>
    </w:p>
    <w:p w:rsidR="00E16818" w:rsidRDefault="00E16818" w:rsidP="00E16818">
      <w:pPr>
        <w:pStyle w:val="Default"/>
        <w:numPr>
          <w:ilvl w:val="0"/>
          <w:numId w:val="17"/>
        </w:numPr>
        <w:rPr>
          <w:sz w:val="22"/>
          <w:szCs w:val="22"/>
          <w:lang w:val="en-US"/>
        </w:rPr>
      </w:pPr>
      <w:r w:rsidRPr="00E837F4">
        <w:rPr>
          <w:sz w:val="22"/>
          <w:szCs w:val="22"/>
          <w:lang w:val="en-US"/>
        </w:rPr>
        <w:t xml:space="preserve">Q36: Are there any risks or implications with regard to mappings of rating scales in view of the distinct methodologies employed by CRAs? </w:t>
      </w:r>
      <w:r w:rsidRPr="008E2EC8">
        <w:rPr>
          <w:sz w:val="22"/>
          <w:szCs w:val="22"/>
          <w:lang w:val="en-US"/>
        </w:rPr>
        <w:t xml:space="preserve">How </w:t>
      </w:r>
      <w:r>
        <w:rPr>
          <w:sz w:val="22"/>
          <w:szCs w:val="22"/>
          <w:lang w:val="en-US"/>
        </w:rPr>
        <w:t>should such risks be mitigated?</w:t>
      </w:r>
    </w:p>
    <w:p w:rsidR="00E16818" w:rsidRDefault="00E16818" w:rsidP="00E16818">
      <w:pPr>
        <w:pStyle w:val="Default"/>
        <w:numPr>
          <w:ilvl w:val="1"/>
          <w:numId w:val="17"/>
        </w:numPr>
        <w:rPr>
          <w:i/>
          <w:sz w:val="22"/>
          <w:szCs w:val="22"/>
          <w:lang w:val="en-US"/>
        </w:rPr>
      </w:pPr>
      <w:r w:rsidRPr="00EB0C8E">
        <w:rPr>
          <w:i/>
          <w:sz w:val="22"/>
          <w:szCs w:val="22"/>
          <w:lang w:val="en-US"/>
        </w:rPr>
        <w:t>In order to avoid the main pitfalls for the mapping, we propose to focus primarily on realized default rates. Indeed the definition of a default is not so dissimilar between CRAs (a failure to pay primarily).</w:t>
      </w:r>
    </w:p>
    <w:p w:rsidR="00E16818" w:rsidRPr="00EB0C8E" w:rsidRDefault="00E16818" w:rsidP="00E16818">
      <w:pPr>
        <w:pStyle w:val="Default"/>
        <w:ind w:left="1440"/>
        <w:rPr>
          <w:i/>
          <w:sz w:val="22"/>
          <w:szCs w:val="22"/>
          <w:lang w:val="en-US"/>
        </w:rPr>
      </w:pPr>
    </w:p>
    <w:p w:rsidR="00E16818" w:rsidRDefault="00E16818" w:rsidP="00E16818">
      <w:pPr>
        <w:pStyle w:val="Default"/>
        <w:numPr>
          <w:ilvl w:val="0"/>
          <w:numId w:val="17"/>
        </w:numPr>
        <w:rPr>
          <w:sz w:val="22"/>
          <w:szCs w:val="22"/>
          <w:lang w:val="en-US"/>
        </w:rPr>
      </w:pPr>
      <w:r w:rsidRPr="00E837F4">
        <w:rPr>
          <w:sz w:val="22"/>
          <w:szCs w:val="22"/>
          <w:lang w:val="en-US"/>
        </w:rPr>
        <w:t>Q37: What features should a mapping of credit ratings have? Which methodology should be followed?</w:t>
      </w:r>
    </w:p>
    <w:p w:rsidR="00E16818" w:rsidRPr="00EB0C8E" w:rsidRDefault="00E16818" w:rsidP="00E16818">
      <w:pPr>
        <w:pStyle w:val="Default"/>
        <w:numPr>
          <w:ilvl w:val="1"/>
          <w:numId w:val="17"/>
        </w:numPr>
        <w:rPr>
          <w:i/>
          <w:sz w:val="22"/>
          <w:szCs w:val="22"/>
          <w:lang w:val="en-US"/>
        </w:rPr>
      </w:pPr>
      <w:r w:rsidRPr="00EB0C8E">
        <w:rPr>
          <w:i/>
          <w:sz w:val="22"/>
          <w:szCs w:val="22"/>
          <w:lang w:val="en-US"/>
        </w:rPr>
        <w:t>Again the mapping methodology of the EBA provides a good template for such new mapping exercise.</w:t>
      </w:r>
    </w:p>
    <w:p w:rsidR="00E16818" w:rsidRPr="00E16818" w:rsidRDefault="00E16818" w:rsidP="00BC289A">
      <w:pPr>
        <w:spacing w:line="480" w:lineRule="auto"/>
        <w:rPr>
          <w:rFonts w:ascii="Georgia" w:hAnsi="Georgia"/>
          <w:sz w:val="24"/>
          <w:szCs w:val="24"/>
          <w:lang w:val="en-US"/>
        </w:rPr>
      </w:pPr>
    </w:p>
    <w:p w:rsidR="00E16818" w:rsidRPr="00E16818" w:rsidRDefault="00E16818" w:rsidP="00BC289A">
      <w:pPr>
        <w:spacing w:line="480" w:lineRule="auto"/>
        <w:rPr>
          <w:rFonts w:ascii="Georgia" w:hAnsi="Georgia"/>
          <w:sz w:val="24"/>
          <w:szCs w:val="24"/>
          <w:lang w:val="en-US"/>
        </w:rPr>
      </w:pPr>
    </w:p>
    <w:p w:rsidR="00E16818" w:rsidRPr="00E16818" w:rsidRDefault="00E16818" w:rsidP="00BC289A">
      <w:pPr>
        <w:spacing w:line="480" w:lineRule="auto"/>
        <w:rPr>
          <w:rFonts w:ascii="Georgia" w:hAnsi="Georgia"/>
          <w:sz w:val="24"/>
          <w:szCs w:val="24"/>
          <w:lang w:val="en-US"/>
        </w:rPr>
      </w:pPr>
    </w:p>
    <w:sectPr w:rsidR="00E16818" w:rsidRPr="00E16818" w:rsidSect="0061247F">
      <w:headerReference w:type="default" r:id="rId8"/>
      <w:pgSz w:w="11906" w:h="16838"/>
      <w:pgMar w:top="1417" w:right="1417" w:bottom="1417" w:left="141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721E" w:rsidRDefault="0033721E" w:rsidP="003D0C93">
      <w:r>
        <w:separator/>
      </w:r>
    </w:p>
  </w:endnote>
  <w:endnote w:type="continuationSeparator" w:id="0">
    <w:p w:rsidR="0033721E" w:rsidRDefault="0033721E" w:rsidP="003D0C9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orbel">
    <w:panose1 w:val="020B0503020204020204"/>
    <w:charset w:val="00"/>
    <w:family w:val="swiss"/>
    <w:pitch w:val="variable"/>
    <w:sig w:usb0="A00002EF" w:usb1="4000204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721E" w:rsidRDefault="0033721E" w:rsidP="003D0C93">
      <w:r>
        <w:separator/>
      </w:r>
    </w:p>
  </w:footnote>
  <w:footnote w:type="continuationSeparator" w:id="0">
    <w:p w:rsidR="0033721E" w:rsidRDefault="0033721E" w:rsidP="003D0C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59D" w:rsidRDefault="002E759D" w:rsidP="003D0C93">
    <w:pPr>
      <w:pStyle w:val="En-tte"/>
      <w:jc w:val="center"/>
    </w:pPr>
    <w:r w:rsidRPr="003D0C93">
      <w:rPr>
        <w:noProof/>
      </w:rPr>
      <w:drawing>
        <wp:inline distT="0" distB="0" distL="0" distR="0">
          <wp:extent cx="1838325" cy="1114425"/>
          <wp:effectExtent l="19050" t="0" r="9525" b="0"/>
          <wp:docPr id="2" name="Image 1" descr="logo_BDF800epaisseu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ogo_BDF800epaisseur"/>
                  <pic:cNvPicPr>
                    <a:picLocks noChangeArrowheads="1"/>
                  </pic:cNvPicPr>
                </pic:nvPicPr>
                <pic:blipFill>
                  <a:blip r:embed="rId1"/>
                  <a:srcRect b="-39006"/>
                  <a:stretch>
                    <a:fillRect/>
                  </a:stretch>
                </pic:blipFill>
                <pic:spPr bwMode="auto">
                  <a:xfrm>
                    <a:off x="0" y="0"/>
                    <a:ext cx="1838325" cy="1114425"/>
                  </a:xfrm>
                  <a:prstGeom prst="rect">
                    <a:avLst/>
                  </a:prstGeom>
                  <a:noFill/>
                  <a:ln w="9525">
                    <a:noFill/>
                    <a:miter lim="800000"/>
                    <a:headEnd/>
                    <a:tailEnd/>
                  </a:ln>
                </pic:spPr>
              </pic:pic>
            </a:graphicData>
          </a:graphic>
        </wp:inline>
      </w:drawing>
    </w:r>
  </w:p>
  <w:p w:rsidR="002E759D" w:rsidRDefault="002E759D">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006024"/>
    <w:multiLevelType w:val="hybridMultilevel"/>
    <w:tmpl w:val="83F0FF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F246CDE"/>
    <w:multiLevelType w:val="singleLevel"/>
    <w:tmpl w:val="78A24F44"/>
    <w:lvl w:ilvl="0">
      <w:start w:val="1"/>
      <w:numFmt w:val="bullet"/>
      <w:lvlText w:val=""/>
      <w:lvlJc w:val="left"/>
      <w:pPr>
        <w:tabs>
          <w:tab w:val="num" w:pos="851"/>
        </w:tabs>
        <w:ind w:left="851" w:hanging="851"/>
      </w:pPr>
      <w:rPr>
        <w:rFonts w:ascii="Symbol" w:hAnsi="Symbol" w:hint="default"/>
      </w:rPr>
    </w:lvl>
  </w:abstractNum>
  <w:abstractNum w:abstractNumId="2">
    <w:nsid w:val="235C385B"/>
    <w:multiLevelType w:val="singleLevel"/>
    <w:tmpl w:val="3E4AF100"/>
    <w:lvl w:ilvl="0">
      <w:start w:val="1"/>
      <w:numFmt w:val="bullet"/>
      <w:lvlText w:val=""/>
      <w:lvlJc w:val="left"/>
      <w:pPr>
        <w:tabs>
          <w:tab w:val="num" w:pos="360"/>
        </w:tabs>
        <w:ind w:left="360" w:hanging="360"/>
      </w:pPr>
      <w:rPr>
        <w:rFonts w:ascii="Symbol" w:hAnsi="Symbol" w:hint="default"/>
      </w:rPr>
    </w:lvl>
  </w:abstractNum>
  <w:abstractNum w:abstractNumId="3">
    <w:nsid w:val="24B14CA5"/>
    <w:multiLevelType w:val="hybridMultilevel"/>
    <w:tmpl w:val="B7DAD4BC"/>
    <w:lvl w:ilvl="0" w:tplc="433E182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BD842C6"/>
    <w:multiLevelType w:val="hybridMultilevel"/>
    <w:tmpl w:val="EB829EB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E7B5E5A"/>
    <w:multiLevelType w:val="hybridMultilevel"/>
    <w:tmpl w:val="B21C6F2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E7E5E39"/>
    <w:multiLevelType w:val="hybridMultilevel"/>
    <w:tmpl w:val="A042977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E29673B"/>
    <w:multiLevelType w:val="hybridMultilevel"/>
    <w:tmpl w:val="3D320972"/>
    <w:lvl w:ilvl="0" w:tplc="433E182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4040262C"/>
    <w:multiLevelType w:val="singleLevel"/>
    <w:tmpl w:val="ED4645BA"/>
    <w:lvl w:ilvl="0">
      <w:start w:val="1"/>
      <w:numFmt w:val="bullet"/>
      <w:lvlText w:val=""/>
      <w:lvlJc w:val="left"/>
      <w:pPr>
        <w:tabs>
          <w:tab w:val="num" w:pos="360"/>
        </w:tabs>
        <w:ind w:left="357" w:hanging="357"/>
      </w:pPr>
      <w:rPr>
        <w:rFonts w:ascii="Symbol" w:hAnsi="Symbol" w:hint="default"/>
      </w:rPr>
    </w:lvl>
  </w:abstractNum>
  <w:abstractNum w:abstractNumId="9">
    <w:nsid w:val="47387938"/>
    <w:multiLevelType w:val="hybridMultilevel"/>
    <w:tmpl w:val="37981B8C"/>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nsid w:val="56D03869"/>
    <w:multiLevelType w:val="hybridMultilevel"/>
    <w:tmpl w:val="4CD4D34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589C17DF"/>
    <w:multiLevelType w:val="hybridMultilevel"/>
    <w:tmpl w:val="F1248D66"/>
    <w:lvl w:ilvl="0" w:tplc="0C161D1C">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68D329E9"/>
    <w:multiLevelType w:val="multilevel"/>
    <w:tmpl w:val="CF3CDE36"/>
    <w:lvl w:ilvl="0">
      <w:start w:val="1"/>
      <w:numFmt w:val="decimal"/>
      <w:pStyle w:val="Titre1"/>
      <w:suff w:val="space"/>
      <w:lvlText w:val="%1."/>
      <w:lvlJc w:val="left"/>
      <w:pPr>
        <w:ind w:left="0" w:firstLine="0"/>
      </w:pPr>
    </w:lvl>
    <w:lvl w:ilvl="1">
      <w:start w:val="1"/>
      <w:numFmt w:val="decimal"/>
      <w:pStyle w:val="Titre2"/>
      <w:suff w:val="space"/>
      <w:lvlText w:val="%1.%2."/>
      <w:lvlJc w:val="left"/>
      <w:pPr>
        <w:ind w:left="0" w:firstLine="0"/>
      </w:pPr>
    </w:lvl>
    <w:lvl w:ilvl="2">
      <w:start w:val="1"/>
      <w:numFmt w:val="decimal"/>
      <w:pStyle w:val="Titre3"/>
      <w:suff w:val="space"/>
      <w:lvlText w:val="%1.%2.%3."/>
      <w:lvlJc w:val="left"/>
      <w:pPr>
        <w:ind w:left="0" w:firstLine="0"/>
      </w:pPr>
    </w:lvl>
    <w:lvl w:ilvl="3">
      <w:start w:val="1"/>
      <w:numFmt w:val="decimal"/>
      <w:pStyle w:val="Titre4"/>
      <w:suff w:val="space"/>
      <w:lvlText w:val="%1.%2.%3.%4."/>
      <w:lvlJc w:val="left"/>
      <w:pPr>
        <w:ind w:left="0" w:firstLine="0"/>
      </w:pPr>
    </w:lvl>
    <w:lvl w:ilvl="4">
      <w:start w:val="1"/>
      <w:numFmt w:val="none"/>
      <w:pStyle w:val="Titre5"/>
      <w:suff w:val="nothing"/>
      <w:lvlText w:val=""/>
      <w:lvlJc w:val="left"/>
      <w:pPr>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3">
    <w:nsid w:val="69C457E5"/>
    <w:multiLevelType w:val="hybridMultilevel"/>
    <w:tmpl w:val="42D686DE"/>
    <w:lvl w:ilvl="0" w:tplc="0C161D1C">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74B04F6D"/>
    <w:multiLevelType w:val="hybridMultilevel"/>
    <w:tmpl w:val="B21C6F2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2"/>
  </w:num>
  <w:num w:numId="2">
    <w:abstractNumId w:val="12"/>
  </w:num>
  <w:num w:numId="3">
    <w:abstractNumId w:val="12"/>
  </w:num>
  <w:num w:numId="4">
    <w:abstractNumId w:val="12"/>
  </w:num>
  <w:num w:numId="5">
    <w:abstractNumId w:val="12"/>
  </w:num>
  <w:num w:numId="6">
    <w:abstractNumId w:val="1"/>
  </w:num>
  <w:num w:numId="7">
    <w:abstractNumId w:val="8"/>
  </w:num>
  <w:num w:numId="8">
    <w:abstractNumId w:val="2"/>
  </w:num>
  <w:num w:numId="9">
    <w:abstractNumId w:val="7"/>
  </w:num>
  <w:num w:numId="10">
    <w:abstractNumId w:val="4"/>
  </w:num>
  <w:num w:numId="11">
    <w:abstractNumId w:val="10"/>
  </w:num>
  <w:num w:numId="12">
    <w:abstractNumId w:val="3"/>
  </w:num>
  <w:num w:numId="13">
    <w:abstractNumId w:val="13"/>
  </w:num>
  <w:num w:numId="14">
    <w:abstractNumId w:val="11"/>
  </w:num>
  <w:num w:numId="15">
    <w:abstractNumId w:val="5"/>
  </w:num>
  <w:num w:numId="16">
    <w:abstractNumId w:val="14"/>
  </w:num>
  <w:num w:numId="17">
    <w:abstractNumId w:val="0"/>
  </w:num>
  <w:num w:numId="18">
    <w:abstractNumId w:val="6"/>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3F01"/>
  <w:doNotTrackFormatting/>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rsids>
    <w:rsidRoot w:val="005C3998"/>
    <w:rsid w:val="00011D53"/>
    <w:rsid w:val="00031C20"/>
    <w:rsid w:val="0004162D"/>
    <w:rsid w:val="00056912"/>
    <w:rsid w:val="00066426"/>
    <w:rsid w:val="0007241F"/>
    <w:rsid w:val="0007356E"/>
    <w:rsid w:val="00075BA5"/>
    <w:rsid w:val="00095818"/>
    <w:rsid w:val="000B0226"/>
    <w:rsid w:val="000B1C09"/>
    <w:rsid w:val="000B3A8A"/>
    <w:rsid w:val="000C3928"/>
    <w:rsid w:val="000D7CE3"/>
    <w:rsid w:val="000E7F24"/>
    <w:rsid w:val="0010174F"/>
    <w:rsid w:val="00132CCF"/>
    <w:rsid w:val="00151CD7"/>
    <w:rsid w:val="00175C6E"/>
    <w:rsid w:val="001959D8"/>
    <w:rsid w:val="001A4525"/>
    <w:rsid w:val="001F4235"/>
    <w:rsid w:val="002029BF"/>
    <w:rsid w:val="00205A13"/>
    <w:rsid w:val="00231427"/>
    <w:rsid w:val="0027026C"/>
    <w:rsid w:val="00294D68"/>
    <w:rsid w:val="002C1F92"/>
    <w:rsid w:val="002C5262"/>
    <w:rsid w:val="002E2F0A"/>
    <w:rsid w:val="002E759D"/>
    <w:rsid w:val="003053C6"/>
    <w:rsid w:val="003076BC"/>
    <w:rsid w:val="00321E88"/>
    <w:rsid w:val="0033721E"/>
    <w:rsid w:val="00340F95"/>
    <w:rsid w:val="00347978"/>
    <w:rsid w:val="00347F50"/>
    <w:rsid w:val="00383989"/>
    <w:rsid w:val="003959A4"/>
    <w:rsid w:val="003A2ADB"/>
    <w:rsid w:val="003D057B"/>
    <w:rsid w:val="003D0C93"/>
    <w:rsid w:val="00407EAF"/>
    <w:rsid w:val="0041751E"/>
    <w:rsid w:val="00431025"/>
    <w:rsid w:val="00440A78"/>
    <w:rsid w:val="004A4D75"/>
    <w:rsid w:val="004B355A"/>
    <w:rsid w:val="004C253D"/>
    <w:rsid w:val="004D07EF"/>
    <w:rsid w:val="004E1BDD"/>
    <w:rsid w:val="005002A9"/>
    <w:rsid w:val="0050052B"/>
    <w:rsid w:val="0050273E"/>
    <w:rsid w:val="00502AC1"/>
    <w:rsid w:val="0051304D"/>
    <w:rsid w:val="00560E43"/>
    <w:rsid w:val="00563631"/>
    <w:rsid w:val="005776B2"/>
    <w:rsid w:val="005832DA"/>
    <w:rsid w:val="00597560"/>
    <w:rsid w:val="005A6066"/>
    <w:rsid w:val="005B2201"/>
    <w:rsid w:val="005C3998"/>
    <w:rsid w:val="005D4FA1"/>
    <w:rsid w:val="005E76C5"/>
    <w:rsid w:val="006006E2"/>
    <w:rsid w:val="0061247F"/>
    <w:rsid w:val="0061561C"/>
    <w:rsid w:val="006513E3"/>
    <w:rsid w:val="0066644C"/>
    <w:rsid w:val="00677A44"/>
    <w:rsid w:val="00677EEF"/>
    <w:rsid w:val="006A17D7"/>
    <w:rsid w:val="006A2EE6"/>
    <w:rsid w:val="006A3779"/>
    <w:rsid w:val="006B6FB4"/>
    <w:rsid w:val="006F1A47"/>
    <w:rsid w:val="00723406"/>
    <w:rsid w:val="0072741A"/>
    <w:rsid w:val="00775CAB"/>
    <w:rsid w:val="00783BF1"/>
    <w:rsid w:val="007A15AF"/>
    <w:rsid w:val="007A19A5"/>
    <w:rsid w:val="007D378A"/>
    <w:rsid w:val="00800266"/>
    <w:rsid w:val="00823038"/>
    <w:rsid w:val="00874BE4"/>
    <w:rsid w:val="00897A4B"/>
    <w:rsid w:val="008A5C6F"/>
    <w:rsid w:val="008B069A"/>
    <w:rsid w:val="008B1746"/>
    <w:rsid w:val="008D3B71"/>
    <w:rsid w:val="008E0C96"/>
    <w:rsid w:val="008E19FF"/>
    <w:rsid w:val="008E1E4E"/>
    <w:rsid w:val="00906019"/>
    <w:rsid w:val="00925996"/>
    <w:rsid w:val="009729EE"/>
    <w:rsid w:val="009960A3"/>
    <w:rsid w:val="009A5AA0"/>
    <w:rsid w:val="009A6A5C"/>
    <w:rsid w:val="009B50FE"/>
    <w:rsid w:val="009C1F80"/>
    <w:rsid w:val="009D6ADF"/>
    <w:rsid w:val="00A253FA"/>
    <w:rsid w:val="00A302FF"/>
    <w:rsid w:val="00A363C3"/>
    <w:rsid w:val="00A44ABD"/>
    <w:rsid w:val="00A62FC8"/>
    <w:rsid w:val="00A96DC6"/>
    <w:rsid w:val="00AA24A5"/>
    <w:rsid w:val="00AA33B8"/>
    <w:rsid w:val="00AB1872"/>
    <w:rsid w:val="00AC4E21"/>
    <w:rsid w:val="00AF1E5F"/>
    <w:rsid w:val="00B43F74"/>
    <w:rsid w:val="00B462A1"/>
    <w:rsid w:val="00B47EB0"/>
    <w:rsid w:val="00B6649C"/>
    <w:rsid w:val="00B96F38"/>
    <w:rsid w:val="00BB0D85"/>
    <w:rsid w:val="00BC232F"/>
    <w:rsid w:val="00BC289A"/>
    <w:rsid w:val="00C01922"/>
    <w:rsid w:val="00C0720E"/>
    <w:rsid w:val="00C14751"/>
    <w:rsid w:val="00C544BA"/>
    <w:rsid w:val="00C5737F"/>
    <w:rsid w:val="00C575C0"/>
    <w:rsid w:val="00C702C1"/>
    <w:rsid w:val="00C72BF0"/>
    <w:rsid w:val="00C72EC0"/>
    <w:rsid w:val="00C74F89"/>
    <w:rsid w:val="00C77341"/>
    <w:rsid w:val="00CA0D4F"/>
    <w:rsid w:val="00CA3CD2"/>
    <w:rsid w:val="00CD20A3"/>
    <w:rsid w:val="00CD6DE1"/>
    <w:rsid w:val="00D0080A"/>
    <w:rsid w:val="00D10ED7"/>
    <w:rsid w:val="00D17DEE"/>
    <w:rsid w:val="00D84A6C"/>
    <w:rsid w:val="00DA290D"/>
    <w:rsid w:val="00DB0DFF"/>
    <w:rsid w:val="00DB4C98"/>
    <w:rsid w:val="00DC3A67"/>
    <w:rsid w:val="00DE0521"/>
    <w:rsid w:val="00E142B5"/>
    <w:rsid w:val="00E16818"/>
    <w:rsid w:val="00E20591"/>
    <w:rsid w:val="00E47307"/>
    <w:rsid w:val="00E61F4A"/>
    <w:rsid w:val="00E633C0"/>
    <w:rsid w:val="00E63EC2"/>
    <w:rsid w:val="00EB2651"/>
    <w:rsid w:val="00EB48CD"/>
    <w:rsid w:val="00ED7E3C"/>
    <w:rsid w:val="00F05963"/>
    <w:rsid w:val="00F07670"/>
    <w:rsid w:val="00F07F0A"/>
    <w:rsid w:val="00F12E77"/>
    <w:rsid w:val="00F15C51"/>
    <w:rsid w:val="00F43618"/>
    <w:rsid w:val="00F51EE4"/>
    <w:rsid w:val="00F616F0"/>
    <w:rsid w:val="00F716A3"/>
    <w:rsid w:val="00F77424"/>
    <w:rsid w:val="00F95E78"/>
    <w:rsid w:val="00FA3E0A"/>
    <w:rsid w:val="00FB07D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247F"/>
    <w:pPr>
      <w:jc w:val="both"/>
    </w:pPr>
    <w:rPr>
      <w:sz w:val="22"/>
    </w:rPr>
  </w:style>
  <w:style w:type="paragraph" w:styleId="Titre1">
    <w:name w:val="heading 1"/>
    <w:basedOn w:val="Normal"/>
    <w:next w:val="Normal"/>
    <w:qFormat/>
    <w:rsid w:val="0061247F"/>
    <w:pPr>
      <w:keepNext/>
      <w:numPr>
        <w:numId w:val="1"/>
      </w:numPr>
      <w:spacing w:before="480" w:after="240"/>
      <w:ind w:left="454" w:hanging="454"/>
      <w:jc w:val="left"/>
      <w:outlineLvl w:val="0"/>
    </w:pPr>
    <w:rPr>
      <w:rFonts w:ascii="Arial" w:hAnsi="Arial"/>
      <w:b/>
      <w:sz w:val="36"/>
    </w:rPr>
  </w:style>
  <w:style w:type="paragraph" w:styleId="Titre2">
    <w:name w:val="heading 2"/>
    <w:basedOn w:val="Titre1"/>
    <w:next w:val="Normal"/>
    <w:qFormat/>
    <w:rsid w:val="0061247F"/>
    <w:pPr>
      <w:numPr>
        <w:ilvl w:val="1"/>
        <w:numId w:val="2"/>
      </w:numPr>
      <w:spacing w:before="360" w:after="120"/>
      <w:ind w:left="624" w:hanging="624"/>
      <w:outlineLvl w:val="1"/>
    </w:pPr>
    <w:rPr>
      <w:b w:val="0"/>
      <w:sz w:val="32"/>
    </w:rPr>
  </w:style>
  <w:style w:type="paragraph" w:styleId="Titre3">
    <w:name w:val="heading 3"/>
    <w:basedOn w:val="Titre2"/>
    <w:next w:val="Normal"/>
    <w:qFormat/>
    <w:rsid w:val="0061247F"/>
    <w:pPr>
      <w:numPr>
        <w:ilvl w:val="2"/>
        <w:numId w:val="3"/>
      </w:numPr>
      <w:ind w:left="680" w:hanging="680"/>
      <w:outlineLvl w:val="2"/>
    </w:pPr>
    <w:rPr>
      <w:b/>
      <w:sz w:val="24"/>
    </w:rPr>
  </w:style>
  <w:style w:type="paragraph" w:styleId="Titre4">
    <w:name w:val="heading 4"/>
    <w:basedOn w:val="Titre3"/>
    <w:next w:val="Normal"/>
    <w:qFormat/>
    <w:rsid w:val="0061247F"/>
    <w:pPr>
      <w:numPr>
        <w:ilvl w:val="3"/>
        <w:numId w:val="4"/>
      </w:numPr>
      <w:spacing w:before="240"/>
      <w:ind w:left="794" w:hanging="794"/>
      <w:outlineLvl w:val="3"/>
    </w:pPr>
    <w:rPr>
      <w:b w:val="0"/>
      <w:sz w:val="22"/>
    </w:rPr>
  </w:style>
  <w:style w:type="paragraph" w:styleId="Titre5">
    <w:name w:val="heading 5"/>
    <w:basedOn w:val="Titre4"/>
    <w:qFormat/>
    <w:rsid w:val="0061247F"/>
    <w:pPr>
      <w:numPr>
        <w:ilvl w:val="4"/>
        <w:numId w:val="5"/>
      </w:numPr>
      <w:outlineLvl w:val="4"/>
    </w:pPr>
    <w:rPr>
      <w:rFonts w:ascii="Times New Roman" w:hAnsi="Times New Roman"/>
      <w:b/>
      <w:i/>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semiHidden/>
    <w:rsid w:val="0061247F"/>
    <w:rPr>
      <w:rFonts w:ascii="Times New Roman" w:hAnsi="Times New Roman"/>
      <w:position w:val="6"/>
      <w:sz w:val="12"/>
      <w:bdr w:val="none" w:sz="0" w:space="0" w:color="auto"/>
    </w:rPr>
  </w:style>
  <w:style w:type="paragraph" w:styleId="En-tte">
    <w:name w:val="header"/>
    <w:basedOn w:val="Normal"/>
    <w:link w:val="En-tteCar"/>
    <w:uiPriority w:val="99"/>
    <w:rsid w:val="0061247F"/>
    <w:pPr>
      <w:pBdr>
        <w:bottom w:val="single" w:sz="6" w:space="2" w:color="auto"/>
      </w:pBdr>
      <w:tabs>
        <w:tab w:val="right" w:pos="8222"/>
      </w:tabs>
    </w:pPr>
    <w:rPr>
      <w:sz w:val="18"/>
    </w:rPr>
  </w:style>
  <w:style w:type="paragraph" w:styleId="Notedebasdepage">
    <w:name w:val="footnote text"/>
    <w:basedOn w:val="Normal"/>
    <w:semiHidden/>
    <w:rsid w:val="0061247F"/>
    <w:pPr>
      <w:spacing w:before="40" w:after="40"/>
      <w:ind w:left="170" w:right="851" w:hanging="170"/>
    </w:pPr>
    <w:rPr>
      <w:sz w:val="16"/>
    </w:rPr>
  </w:style>
  <w:style w:type="paragraph" w:styleId="Pieddepage">
    <w:name w:val="footer"/>
    <w:basedOn w:val="Normal"/>
    <w:rsid w:val="0061247F"/>
    <w:pPr>
      <w:pBdr>
        <w:top w:val="single" w:sz="6" w:space="2" w:color="auto"/>
      </w:pBdr>
      <w:tabs>
        <w:tab w:val="right" w:pos="8222"/>
      </w:tabs>
    </w:pPr>
    <w:rPr>
      <w:rFonts w:ascii="Arial" w:hAnsi="Arial"/>
      <w:sz w:val="18"/>
    </w:rPr>
  </w:style>
  <w:style w:type="paragraph" w:styleId="TM1">
    <w:name w:val="toc 1"/>
    <w:basedOn w:val="Normal"/>
    <w:next w:val="Normal"/>
    <w:autoRedefine/>
    <w:semiHidden/>
    <w:rsid w:val="0061247F"/>
    <w:pPr>
      <w:tabs>
        <w:tab w:val="right" w:leader="dot" w:pos="8222"/>
      </w:tabs>
      <w:spacing w:before="240" w:after="60"/>
      <w:ind w:left="680" w:right="851" w:hanging="340"/>
    </w:pPr>
    <w:rPr>
      <w:rFonts w:ascii="Arial" w:hAnsi="Arial"/>
      <w:b/>
      <w:caps/>
      <w:sz w:val="24"/>
    </w:rPr>
  </w:style>
  <w:style w:type="paragraph" w:styleId="TM2">
    <w:name w:val="toc 2"/>
    <w:basedOn w:val="Normal"/>
    <w:next w:val="Normal"/>
    <w:autoRedefine/>
    <w:semiHidden/>
    <w:rsid w:val="0061247F"/>
    <w:pPr>
      <w:tabs>
        <w:tab w:val="right" w:leader="dot" w:pos="8222"/>
      </w:tabs>
      <w:spacing w:after="60"/>
      <w:ind w:left="1134" w:right="851" w:hanging="397"/>
      <w:jc w:val="left"/>
    </w:pPr>
    <w:rPr>
      <w:rFonts w:ascii="Arial" w:hAnsi="Arial"/>
      <w:caps/>
      <w:sz w:val="20"/>
    </w:rPr>
  </w:style>
  <w:style w:type="paragraph" w:styleId="TM3">
    <w:name w:val="toc 3"/>
    <w:basedOn w:val="Normal"/>
    <w:next w:val="Normal"/>
    <w:autoRedefine/>
    <w:semiHidden/>
    <w:rsid w:val="0061247F"/>
    <w:pPr>
      <w:tabs>
        <w:tab w:val="right" w:leader="dot" w:pos="8222"/>
      </w:tabs>
      <w:spacing w:after="60"/>
      <w:ind w:left="1871" w:right="851" w:hanging="567"/>
      <w:jc w:val="left"/>
    </w:pPr>
    <w:rPr>
      <w:rFonts w:ascii="Arial" w:hAnsi="Arial"/>
      <w:b/>
      <w:sz w:val="20"/>
    </w:rPr>
  </w:style>
  <w:style w:type="paragraph" w:styleId="TM4">
    <w:name w:val="toc 4"/>
    <w:basedOn w:val="Normal"/>
    <w:next w:val="Normal"/>
    <w:autoRedefine/>
    <w:semiHidden/>
    <w:rsid w:val="0061247F"/>
    <w:pPr>
      <w:tabs>
        <w:tab w:val="right" w:leader="dot" w:pos="8222"/>
      </w:tabs>
      <w:spacing w:after="60"/>
      <w:ind w:left="2552" w:right="851" w:hanging="624"/>
      <w:jc w:val="left"/>
    </w:pPr>
    <w:rPr>
      <w:sz w:val="20"/>
    </w:rPr>
  </w:style>
  <w:style w:type="paragraph" w:styleId="TM5">
    <w:name w:val="toc 5"/>
    <w:basedOn w:val="Normal"/>
    <w:next w:val="Normal"/>
    <w:autoRedefine/>
    <w:semiHidden/>
    <w:rsid w:val="0061247F"/>
    <w:pPr>
      <w:tabs>
        <w:tab w:val="right" w:leader="dot" w:pos="8222"/>
      </w:tabs>
      <w:ind w:left="2381" w:right="851" w:hanging="113"/>
      <w:jc w:val="left"/>
    </w:pPr>
    <w:rPr>
      <w:sz w:val="20"/>
    </w:rPr>
  </w:style>
  <w:style w:type="paragraph" w:styleId="Lgende">
    <w:name w:val="caption"/>
    <w:basedOn w:val="Normal"/>
    <w:next w:val="Normal"/>
    <w:qFormat/>
    <w:rsid w:val="0061247F"/>
    <w:rPr>
      <w:rFonts w:ascii="Arial" w:hAnsi="Arial"/>
      <w:b/>
      <w:sz w:val="20"/>
    </w:rPr>
  </w:style>
  <w:style w:type="paragraph" w:styleId="Titre">
    <w:name w:val="Title"/>
    <w:basedOn w:val="Normal"/>
    <w:next w:val="Normal"/>
    <w:link w:val="TitreCar"/>
    <w:autoRedefine/>
    <w:qFormat/>
    <w:rsid w:val="00C544BA"/>
    <w:pPr>
      <w:pBdr>
        <w:bottom w:val="single" w:sz="8" w:space="4" w:color="4F81BD" w:themeColor="accent1"/>
      </w:pBdr>
      <w:spacing w:after="300"/>
      <w:contextualSpacing/>
    </w:pPr>
    <w:rPr>
      <w:rFonts w:ascii="Arial" w:eastAsiaTheme="majorEastAsia" w:hAnsi="Arial" w:cstheme="majorBidi"/>
      <w:color w:val="17365D" w:themeColor="text2" w:themeShade="BF"/>
      <w:spacing w:val="5"/>
      <w:kern w:val="28"/>
      <w:sz w:val="52"/>
      <w:szCs w:val="52"/>
    </w:rPr>
  </w:style>
  <w:style w:type="character" w:customStyle="1" w:styleId="TitreCar">
    <w:name w:val="Titre Car"/>
    <w:basedOn w:val="Policepardfaut"/>
    <w:link w:val="Titre"/>
    <w:rsid w:val="00C544BA"/>
    <w:rPr>
      <w:rFonts w:ascii="Arial" w:eastAsiaTheme="majorEastAsia" w:hAnsi="Arial" w:cstheme="majorBidi"/>
      <w:color w:val="17365D" w:themeColor="text2" w:themeShade="BF"/>
      <w:spacing w:val="5"/>
      <w:kern w:val="28"/>
      <w:sz w:val="52"/>
      <w:szCs w:val="52"/>
    </w:rPr>
  </w:style>
  <w:style w:type="table" w:styleId="Grilledutableau">
    <w:name w:val="Table Grid"/>
    <w:basedOn w:val="TableauNormal"/>
    <w:rsid w:val="0007356E"/>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AParagraphe">
    <w:name w:val="RA_Paragraphe"/>
    <w:basedOn w:val="Normal"/>
    <w:link w:val="RAParagrapheCar"/>
    <w:qFormat/>
    <w:rsid w:val="0007356E"/>
    <w:pPr>
      <w:tabs>
        <w:tab w:val="left" w:pos="567"/>
      </w:tabs>
      <w:spacing w:after="200"/>
    </w:pPr>
    <w:rPr>
      <w:rFonts w:ascii="Corbel" w:eastAsia="MS Mincho" w:hAnsi="Corbel"/>
      <w:spacing w:val="-2"/>
      <w:lang w:eastAsia="ja-JP"/>
    </w:rPr>
  </w:style>
  <w:style w:type="character" w:customStyle="1" w:styleId="RAParagrapheCar">
    <w:name w:val="RA_Paragraphe Car"/>
    <w:basedOn w:val="Policepardfaut"/>
    <w:link w:val="RAParagraphe"/>
    <w:rsid w:val="0007356E"/>
    <w:rPr>
      <w:rFonts w:ascii="Corbel" w:eastAsia="MS Mincho" w:hAnsi="Corbel"/>
      <w:spacing w:val="-2"/>
      <w:sz w:val="22"/>
      <w:lang w:eastAsia="ja-JP"/>
    </w:rPr>
  </w:style>
  <w:style w:type="paragraph" w:customStyle="1" w:styleId="RAtitreencadrgraphtab">
    <w:name w:val="RA_titre_encadré_graph_tab"/>
    <w:basedOn w:val="Normal"/>
    <w:link w:val="RAtitreencadrgraphtabCar"/>
    <w:qFormat/>
    <w:rsid w:val="0007356E"/>
    <w:pPr>
      <w:spacing w:before="120" w:after="120"/>
      <w:ind w:left="113" w:right="113"/>
      <w:jc w:val="center"/>
    </w:pPr>
    <w:rPr>
      <w:rFonts w:ascii="Calibri" w:hAnsi="Calibri"/>
      <w:b/>
      <w:i/>
      <w:color w:val="17365D" w:themeColor="text2" w:themeShade="BF"/>
      <w:sz w:val="20"/>
      <w:szCs w:val="24"/>
    </w:rPr>
  </w:style>
  <w:style w:type="character" w:customStyle="1" w:styleId="RAtitreencadrgraphtabCar">
    <w:name w:val="RA_titre_encadré_graph_tab Car"/>
    <w:basedOn w:val="Policepardfaut"/>
    <w:link w:val="RAtitreencadrgraphtab"/>
    <w:rsid w:val="0007356E"/>
    <w:rPr>
      <w:rFonts w:ascii="Calibri" w:hAnsi="Calibri"/>
      <w:b/>
      <w:i/>
      <w:color w:val="17365D" w:themeColor="text2" w:themeShade="BF"/>
      <w:szCs w:val="24"/>
    </w:rPr>
  </w:style>
  <w:style w:type="paragraph" w:customStyle="1" w:styleId="RASources">
    <w:name w:val="RA_Sources"/>
    <w:basedOn w:val="Normal"/>
    <w:link w:val="RASourcesCar"/>
    <w:qFormat/>
    <w:rsid w:val="0007356E"/>
    <w:pPr>
      <w:spacing w:before="80"/>
      <w:ind w:left="57"/>
      <w:jc w:val="left"/>
    </w:pPr>
    <w:rPr>
      <w:rFonts w:asciiTheme="minorHAnsi" w:hAnsiTheme="minorHAnsi"/>
      <w:i/>
      <w:noProof/>
      <w:sz w:val="16"/>
      <w:szCs w:val="16"/>
      <w:lang w:val="en-US"/>
    </w:rPr>
  </w:style>
  <w:style w:type="character" w:customStyle="1" w:styleId="RASourcesCar">
    <w:name w:val="RA_Sources Car"/>
    <w:basedOn w:val="Policepardfaut"/>
    <w:link w:val="RASources"/>
    <w:rsid w:val="0007356E"/>
    <w:rPr>
      <w:rFonts w:asciiTheme="minorHAnsi" w:hAnsiTheme="minorHAnsi"/>
      <w:i/>
      <w:noProof/>
      <w:sz w:val="16"/>
      <w:szCs w:val="16"/>
      <w:lang w:val="en-US"/>
    </w:rPr>
  </w:style>
  <w:style w:type="paragraph" w:styleId="Textedebulles">
    <w:name w:val="Balloon Text"/>
    <w:basedOn w:val="Normal"/>
    <w:link w:val="TextedebullesCar"/>
    <w:rsid w:val="0007356E"/>
    <w:rPr>
      <w:rFonts w:ascii="Tahoma" w:hAnsi="Tahoma" w:cs="Tahoma"/>
      <w:sz w:val="16"/>
      <w:szCs w:val="16"/>
    </w:rPr>
  </w:style>
  <w:style w:type="character" w:customStyle="1" w:styleId="TextedebullesCar">
    <w:name w:val="Texte de bulles Car"/>
    <w:basedOn w:val="Policepardfaut"/>
    <w:link w:val="Textedebulles"/>
    <w:rsid w:val="0007356E"/>
    <w:rPr>
      <w:rFonts w:ascii="Tahoma" w:hAnsi="Tahoma" w:cs="Tahoma"/>
      <w:sz w:val="16"/>
      <w:szCs w:val="16"/>
    </w:rPr>
  </w:style>
  <w:style w:type="character" w:customStyle="1" w:styleId="En-tteCar">
    <w:name w:val="En-tête Car"/>
    <w:basedOn w:val="Policepardfaut"/>
    <w:link w:val="En-tte"/>
    <w:uiPriority w:val="99"/>
    <w:rsid w:val="003D0C93"/>
    <w:rPr>
      <w:sz w:val="18"/>
    </w:rPr>
  </w:style>
  <w:style w:type="paragraph" w:styleId="Paragraphedeliste">
    <w:name w:val="List Paragraph"/>
    <w:basedOn w:val="Normal"/>
    <w:uiPriority w:val="34"/>
    <w:qFormat/>
    <w:rsid w:val="006A17D7"/>
    <w:pPr>
      <w:ind w:left="720"/>
      <w:contextualSpacing/>
    </w:pPr>
  </w:style>
  <w:style w:type="character" w:styleId="Marquedecommentaire">
    <w:name w:val="annotation reference"/>
    <w:basedOn w:val="Policepardfaut"/>
    <w:rsid w:val="00823038"/>
    <w:rPr>
      <w:sz w:val="16"/>
      <w:szCs w:val="16"/>
    </w:rPr>
  </w:style>
  <w:style w:type="paragraph" w:styleId="Commentaire">
    <w:name w:val="annotation text"/>
    <w:basedOn w:val="Normal"/>
    <w:link w:val="CommentaireCar"/>
    <w:rsid w:val="00823038"/>
    <w:rPr>
      <w:sz w:val="20"/>
    </w:rPr>
  </w:style>
  <w:style w:type="character" w:customStyle="1" w:styleId="CommentaireCar">
    <w:name w:val="Commentaire Car"/>
    <w:basedOn w:val="Policepardfaut"/>
    <w:link w:val="Commentaire"/>
    <w:rsid w:val="00823038"/>
  </w:style>
  <w:style w:type="paragraph" w:styleId="Objetducommentaire">
    <w:name w:val="annotation subject"/>
    <w:basedOn w:val="Commentaire"/>
    <w:next w:val="Commentaire"/>
    <w:link w:val="ObjetducommentaireCar"/>
    <w:rsid w:val="00823038"/>
    <w:rPr>
      <w:b/>
      <w:bCs/>
    </w:rPr>
  </w:style>
  <w:style w:type="character" w:customStyle="1" w:styleId="ObjetducommentaireCar">
    <w:name w:val="Objet du commentaire Car"/>
    <w:basedOn w:val="CommentaireCar"/>
    <w:link w:val="Objetducommentaire"/>
    <w:rsid w:val="00823038"/>
    <w:rPr>
      <w:b/>
      <w:bCs/>
    </w:rPr>
  </w:style>
  <w:style w:type="character" w:styleId="Lienhypertexte">
    <w:name w:val="Hyperlink"/>
    <w:basedOn w:val="Policepardfaut"/>
    <w:rsid w:val="00440A78"/>
    <w:rPr>
      <w:color w:val="0000FF" w:themeColor="hyperlink"/>
      <w:u w:val="single"/>
    </w:rPr>
  </w:style>
  <w:style w:type="paragraph" w:customStyle="1" w:styleId="Default">
    <w:name w:val="Default"/>
    <w:rsid w:val="00BC289A"/>
    <w:pPr>
      <w:autoSpaceDE w:val="0"/>
      <w:autoSpaceDN w:val="0"/>
      <w:adjustRightInd w:val="0"/>
    </w:pPr>
    <w:rPr>
      <w:rFonts w:ascii="Georgia" w:hAnsi="Georgia" w:cs="Georgia"/>
      <w:color w:val="000000"/>
      <w:sz w:val="24"/>
      <w:szCs w:val="24"/>
    </w:rPr>
  </w:style>
</w:styles>
</file>

<file path=word/webSettings.xml><?xml version="1.0" encoding="utf-8"?>
<w:webSettings xmlns:r="http://schemas.openxmlformats.org/officeDocument/2006/relationships" xmlns:w="http://schemas.openxmlformats.org/wordprocessingml/2006/main">
  <w:divs>
    <w:div w:id="665401495">
      <w:bodyDiv w:val="1"/>
      <w:marLeft w:val="0"/>
      <w:marRight w:val="0"/>
      <w:marTop w:val="0"/>
      <w:marBottom w:val="0"/>
      <w:divBdr>
        <w:top w:val="none" w:sz="0" w:space="0" w:color="auto"/>
        <w:left w:val="none" w:sz="0" w:space="0" w:color="auto"/>
        <w:bottom w:val="none" w:sz="0" w:space="0" w:color="auto"/>
        <w:right w:val="none" w:sz="0" w:space="0" w:color="auto"/>
      </w:divBdr>
      <w:divsChild>
        <w:div w:id="1992176821">
          <w:marLeft w:val="0"/>
          <w:marRight w:val="0"/>
          <w:marTop w:val="0"/>
          <w:marBottom w:val="0"/>
          <w:divBdr>
            <w:top w:val="none" w:sz="0" w:space="0" w:color="auto"/>
            <w:left w:val="none" w:sz="0" w:space="0" w:color="auto"/>
            <w:bottom w:val="none" w:sz="0" w:space="0" w:color="auto"/>
            <w:right w:val="none" w:sz="0" w:space="0" w:color="auto"/>
          </w:divBdr>
          <w:divsChild>
            <w:div w:id="1116027551">
              <w:marLeft w:val="0"/>
              <w:marRight w:val="0"/>
              <w:marTop w:val="0"/>
              <w:marBottom w:val="0"/>
              <w:divBdr>
                <w:top w:val="none" w:sz="0" w:space="0" w:color="auto"/>
                <w:left w:val="none" w:sz="0" w:space="0" w:color="auto"/>
                <w:bottom w:val="none" w:sz="0" w:space="0" w:color="auto"/>
                <w:right w:val="none" w:sz="0" w:space="0" w:color="auto"/>
              </w:divBdr>
              <w:divsChild>
                <w:div w:id="1425414064">
                  <w:marLeft w:val="0"/>
                  <w:marRight w:val="0"/>
                  <w:marTop w:val="0"/>
                  <w:marBottom w:val="0"/>
                  <w:divBdr>
                    <w:top w:val="none" w:sz="0" w:space="0" w:color="auto"/>
                    <w:left w:val="none" w:sz="0" w:space="0" w:color="auto"/>
                    <w:bottom w:val="none" w:sz="0" w:space="0" w:color="auto"/>
                    <w:right w:val="none" w:sz="0" w:space="0" w:color="auto"/>
                  </w:divBdr>
                  <w:divsChild>
                    <w:div w:id="641738467">
                      <w:marLeft w:val="0"/>
                      <w:marRight w:val="0"/>
                      <w:marTop w:val="0"/>
                      <w:marBottom w:val="0"/>
                      <w:divBdr>
                        <w:top w:val="none" w:sz="0" w:space="0" w:color="auto"/>
                        <w:left w:val="none" w:sz="0" w:space="0" w:color="auto"/>
                        <w:bottom w:val="none" w:sz="0" w:space="0" w:color="auto"/>
                        <w:right w:val="none" w:sz="0" w:space="0" w:color="auto"/>
                      </w:divBdr>
                      <w:divsChild>
                        <w:div w:id="66717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3018122">
      <w:bodyDiv w:val="1"/>
      <w:marLeft w:val="0"/>
      <w:marRight w:val="0"/>
      <w:marTop w:val="0"/>
      <w:marBottom w:val="0"/>
      <w:divBdr>
        <w:top w:val="none" w:sz="0" w:space="0" w:color="auto"/>
        <w:left w:val="none" w:sz="0" w:space="0" w:color="auto"/>
        <w:bottom w:val="none" w:sz="0" w:space="0" w:color="auto"/>
        <w:right w:val="none" w:sz="0" w:space="0" w:color="auto"/>
      </w:divBdr>
      <w:divsChild>
        <w:div w:id="1855225834">
          <w:marLeft w:val="0"/>
          <w:marRight w:val="0"/>
          <w:marTop w:val="0"/>
          <w:marBottom w:val="0"/>
          <w:divBdr>
            <w:top w:val="none" w:sz="0" w:space="0" w:color="auto"/>
            <w:left w:val="none" w:sz="0" w:space="0" w:color="auto"/>
            <w:bottom w:val="none" w:sz="0" w:space="0" w:color="auto"/>
            <w:right w:val="none" w:sz="0" w:space="0" w:color="auto"/>
          </w:divBdr>
          <w:divsChild>
            <w:div w:id="892159127">
              <w:marLeft w:val="0"/>
              <w:marRight w:val="0"/>
              <w:marTop w:val="0"/>
              <w:marBottom w:val="0"/>
              <w:divBdr>
                <w:top w:val="none" w:sz="0" w:space="0" w:color="auto"/>
                <w:left w:val="none" w:sz="0" w:space="0" w:color="auto"/>
                <w:bottom w:val="none" w:sz="0" w:space="0" w:color="auto"/>
                <w:right w:val="none" w:sz="0" w:space="0" w:color="auto"/>
              </w:divBdr>
              <w:divsChild>
                <w:div w:id="113251648">
                  <w:marLeft w:val="0"/>
                  <w:marRight w:val="0"/>
                  <w:marTop w:val="0"/>
                  <w:marBottom w:val="0"/>
                  <w:divBdr>
                    <w:top w:val="none" w:sz="0" w:space="0" w:color="auto"/>
                    <w:left w:val="none" w:sz="0" w:space="0" w:color="auto"/>
                    <w:bottom w:val="none" w:sz="0" w:space="0" w:color="auto"/>
                    <w:right w:val="none" w:sz="0" w:space="0" w:color="auto"/>
                  </w:divBdr>
                  <w:divsChild>
                    <w:div w:id="993948470">
                      <w:marLeft w:val="0"/>
                      <w:marRight w:val="0"/>
                      <w:marTop w:val="0"/>
                      <w:marBottom w:val="0"/>
                      <w:divBdr>
                        <w:top w:val="none" w:sz="0" w:space="0" w:color="auto"/>
                        <w:left w:val="none" w:sz="0" w:space="0" w:color="auto"/>
                        <w:bottom w:val="none" w:sz="0" w:space="0" w:color="auto"/>
                        <w:right w:val="none" w:sz="0" w:space="0" w:color="auto"/>
                      </w:divBdr>
                      <w:divsChild>
                        <w:div w:id="126892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EEBAB-1F3E-4720-A3F4-D9546AD99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3544</Words>
  <Characters>18429</Characters>
  <Application>Microsoft Office Word</Application>
  <DocSecurity>0</DocSecurity>
  <Lines>153</Lines>
  <Paragraphs>43</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21930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Camille L'HERMITTE</dc:creator>
  <cp:keywords/>
  <dc:description/>
  <cp:lastModifiedBy>Christine-Marie SAHATDJIAN</cp:lastModifiedBy>
  <cp:revision>11</cp:revision>
  <cp:lastPrinted>1999-05-27T14:48:00Z</cp:lastPrinted>
  <dcterms:created xsi:type="dcterms:W3CDTF">2013-10-10T08:10:00Z</dcterms:created>
  <dcterms:modified xsi:type="dcterms:W3CDTF">2013-10-10T08:41:00Z</dcterms:modified>
</cp:coreProperties>
</file>