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DB" w:rsidRPr="00FF10DB" w:rsidRDefault="00FF10DB" w:rsidP="00FF10DB">
      <w:pPr>
        <w:jc w:val="both"/>
        <w:rPr>
          <w:rFonts w:cs="Times New Roman"/>
          <w:bCs/>
          <w:sz w:val="22"/>
          <w:szCs w:val="22"/>
        </w:rPr>
      </w:pPr>
      <w:r w:rsidRPr="00FF10DB">
        <w:rPr>
          <w:rFonts w:cs="Times New Roman"/>
          <w:bCs/>
          <w:sz w:val="22"/>
          <w:szCs w:val="22"/>
        </w:rPr>
        <w:t>The European Focus Committee of the Association of Global Custodians</w:t>
      </w:r>
      <w:r w:rsidRPr="00FF10DB">
        <w:rPr>
          <w:rFonts w:cs="Times New Roman"/>
          <w:bCs/>
          <w:sz w:val="22"/>
          <w:szCs w:val="22"/>
          <w:vertAlign w:val="superscript"/>
        </w:rPr>
        <w:footnoteReference w:id="1"/>
      </w:r>
      <w:r w:rsidRPr="00FF10DB">
        <w:rPr>
          <w:rFonts w:cs="Times New Roman"/>
          <w:bCs/>
          <w:sz w:val="22"/>
          <w:szCs w:val="22"/>
        </w:rPr>
        <w:t xml:space="preserve"> (“AGC-EFC” or the “Committee”) welcomes the opportunity to respond to the above-captioned Consultation Document.  Established in 1996, the Association of Global Custodians (the “Association”) is a group of 12 global financial institutions that each provides securities custody and asset-servicing functions primarily to institutional cross-border investors worldwide. As a non-partisan advocacy organization, the Association represents members’ common interests on regulatory and market structure. The member banks are competitors, and the Association does not involve itself in member commercial activities or take positions concerning how members should conduct their custody and related businesses. </w:t>
      </w:r>
    </w:p>
    <w:p w:rsidR="00204D43" w:rsidRPr="00FF10DB" w:rsidRDefault="00FF10DB" w:rsidP="00204D43">
      <w:pPr>
        <w:autoSpaceDE w:val="0"/>
        <w:autoSpaceDN w:val="0"/>
        <w:adjustRightInd w:val="0"/>
        <w:jc w:val="both"/>
        <w:rPr>
          <w:rFonts w:eastAsia="Calibri" w:cs="Arial"/>
          <w:sz w:val="22"/>
          <w:szCs w:val="22"/>
        </w:rPr>
      </w:pPr>
      <w:r w:rsidRPr="00FF10DB">
        <w:rPr>
          <w:rFonts w:eastAsia="Calibri" w:cs="Arial"/>
          <w:sz w:val="22"/>
          <w:szCs w:val="22"/>
        </w:rPr>
        <w:t xml:space="preserve">The </w:t>
      </w:r>
      <w:r w:rsidR="00204D43" w:rsidRPr="00FF10DB">
        <w:rPr>
          <w:rFonts w:eastAsia="Calibri" w:cs="Arial"/>
          <w:sz w:val="22"/>
          <w:szCs w:val="22"/>
        </w:rPr>
        <w:t xml:space="preserve">Committee welcomes the opportunity to provide comments to ESMA on its consultation paper regarding the </w:t>
      </w:r>
      <w:r w:rsidR="00757C86" w:rsidRPr="00FF10DB">
        <w:rPr>
          <w:rFonts w:eastAsia="Calibri" w:cs="Arial"/>
          <w:sz w:val="22"/>
          <w:szCs w:val="22"/>
        </w:rPr>
        <w:t xml:space="preserve">draft </w:t>
      </w:r>
      <w:r w:rsidR="00204D43" w:rsidRPr="00FF10DB">
        <w:rPr>
          <w:rFonts w:eastAsia="Calibri" w:cs="Arial"/>
          <w:sz w:val="22"/>
          <w:szCs w:val="22"/>
        </w:rPr>
        <w:t>guidelines for the reporting of internalized settlement transactions under Article 9 of Regulation 909/2014 and the respective delegated acts</w:t>
      </w:r>
      <w:r w:rsidR="00757C86" w:rsidRPr="00FF10DB">
        <w:rPr>
          <w:rFonts w:eastAsia="Calibri" w:cs="Arial"/>
          <w:sz w:val="22"/>
          <w:szCs w:val="22"/>
        </w:rPr>
        <w:t xml:space="preserve"> (the “draft guidelines”)</w:t>
      </w:r>
      <w:r w:rsidR="00204D43" w:rsidRPr="00FF10DB">
        <w:rPr>
          <w:rFonts w:eastAsia="Calibri" w:cs="Arial"/>
          <w:sz w:val="22"/>
          <w:szCs w:val="22"/>
        </w:rPr>
        <w:t xml:space="preserve">. </w:t>
      </w:r>
    </w:p>
    <w:p w:rsidR="00204D43" w:rsidRPr="00FF10DB" w:rsidRDefault="00204D43" w:rsidP="00204D43">
      <w:pPr>
        <w:autoSpaceDE w:val="0"/>
        <w:autoSpaceDN w:val="0"/>
        <w:adjustRightInd w:val="0"/>
        <w:jc w:val="both"/>
        <w:rPr>
          <w:rFonts w:eastAsia="Calibri" w:cs="Arial"/>
          <w:sz w:val="22"/>
          <w:szCs w:val="22"/>
        </w:rPr>
      </w:pPr>
      <w:r w:rsidRPr="00FF10DB">
        <w:rPr>
          <w:rFonts w:eastAsia="Calibri" w:cs="Arial"/>
          <w:sz w:val="22"/>
          <w:szCs w:val="22"/>
        </w:rPr>
        <w:t xml:space="preserve">The Committee members have taken note of the response that the Association for Financial Markets in Europe </w:t>
      </w:r>
      <w:r w:rsidR="00757C86" w:rsidRPr="00FF10DB">
        <w:rPr>
          <w:rFonts w:eastAsia="Calibri" w:cs="Arial"/>
          <w:sz w:val="22"/>
          <w:szCs w:val="22"/>
        </w:rPr>
        <w:t xml:space="preserve">(“AFME”) </w:t>
      </w:r>
      <w:r w:rsidRPr="00FF10DB">
        <w:rPr>
          <w:rFonts w:eastAsia="Calibri" w:cs="Arial"/>
          <w:sz w:val="22"/>
          <w:szCs w:val="22"/>
        </w:rPr>
        <w:t>ha</w:t>
      </w:r>
      <w:r w:rsidR="00757C86" w:rsidRPr="00FF10DB">
        <w:rPr>
          <w:rFonts w:eastAsia="Calibri" w:cs="Arial"/>
          <w:sz w:val="22"/>
          <w:szCs w:val="22"/>
        </w:rPr>
        <w:t>s</w:t>
      </w:r>
      <w:r w:rsidRPr="00FF10DB">
        <w:rPr>
          <w:rFonts w:eastAsia="Calibri" w:cs="Arial"/>
          <w:sz w:val="22"/>
          <w:szCs w:val="22"/>
        </w:rPr>
        <w:t xml:space="preserve"> developed and would like to voice its broad support for the messages expressed in </w:t>
      </w:r>
      <w:r w:rsidR="00757C86" w:rsidRPr="00FF10DB">
        <w:rPr>
          <w:rFonts w:eastAsia="Calibri" w:cs="Arial"/>
          <w:sz w:val="22"/>
          <w:szCs w:val="22"/>
        </w:rPr>
        <w:t xml:space="preserve">that </w:t>
      </w:r>
      <w:r w:rsidRPr="00FF10DB">
        <w:rPr>
          <w:rFonts w:eastAsia="Calibri" w:cs="Arial"/>
          <w:sz w:val="22"/>
          <w:szCs w:val="22"/>
        </w:rPr>
        <w:t xml:space="preserve">response. </w:t>
      </w:r>
    </w:p>
    <w:p w:rsidR="00204D43" w:rsidRPr="00FF10DB" w:rsidRDefault="00204D43" w:rsidP="00204D43">
      <w:pPr>
        <w:autoSpaceDE w:val="0"/>
        <w:autoSpaceDN w:val="0"/>
        <w:adjustRightInd w:val="0"/>
        <w:jc w:val="both"/>
        <w:rPr>
          <w:rFonts w:eastAsia="Calibri" w:cs="Arial"/>
          <w:sz w:val="22"/>
          <w:szCs w:val="22"/>
        </w:rPr>
      </w:pPr>
      <w:r w:rsidRPr="00FF10DB">
        <w:rPr>
          <w:rFonts w:eastAsia="Calibri" w:cs="Arial"/>
          <w:sz w:val="22"/>
          <w:szCs w:val="22"/>
        </w:rPr>
        <w:t xml:space="preserve">In particular the Committee would like to highlight a few key messages that ESMA is </w:t>
      </w:r>
      <w:r w:rsidR="00FF10DB">
        <w:rPr>
          <w:rFonts w:eastAsia="Calibri" w:cs="Arial"/>
          <w:sz w:val="22"/>
          <w:szCs w:val="22"/>
        </w:rPr>
        <w:t>encouraged</w:t>
      </w:r>
      <w:r w:rsidR="00FF10DB" w:rsidRPr="00FF10DB">
        <w:rPr>
          <w:rFonts w:eastAsia="Calibri" w:cs="Arial"/>
          <w:sz w:val="22"/>
          <w:szCs w:val="22"/>
        </w:rPr>
        <w:t xml:space="preserve"> </w:t>
      </w:r>
      <w:r w:rsidRPr="00FF10DB">
        <w:rPr>
          <w:rFonts w:eastAsia="Calibri" w:cs="Arial"/>
          <w:sz w:val="22"/>
          <w:szCs w:val="22"/>
        </w:rPr>
        <w:t xml:space="preserve">to take into consideration: </w:t>
      </w:r>
    </w:p>
    <w:p w:rsidR="00870C3B" w:rsidRPr="00FF10DB" w:rsidRDefault="00204D43" w:rsidP="00204D43">
      <w:pPr>
        <w:pStyle w:val="ListParagraph"/>
        <w:numPr>
          <w:ilvl w:val="0"/>
          <w:numId w:val="1"/>
        </w:numPr>
        <w:jc w:val="both"/>
        <w:rPr>
          <w:rFonts w:eastAsia="Century Gothic" w:cs="Times New Roman"/>
          <w:b/>
          <w:color w:val="2D659A"/>
          <w:sz w:val="22"/>
          <w:szCs w:val="22"/>
          <w:lang w:val="en-GB"/>
        </w:rPr>
      </w:pPr>
      <w:r w:rsidRPr="00FF10DB">
        <w:rPr>
          <w:rFonts w:eastAsia="Century Gothic" w:cs="Times New Roman"/>
          <w:b/>
          <w:color w:val="2D659A"/>
          <w:sz w:val="22"/>
          <w:szCs w:val="22"/>
          <w:lang w:val="en-GB"/>
        </w:rPr>
        <w:t>Account provider reporting</w:t>
      </w:r>
    </w:p>
    <w:p w:rsidR="00204D43" w:rsidRPr="00FF10DB" w:rsidRDefault="00204D43" w:rsidP="00204D43">
      <w:pPr>
        <w:jc w:val="both"/>
        <w:rPr>
          <w:rFonts w:eastAsia="Calibri" w:cs="Arial"/>
          <w:sz w:val="22"/>
          <w:szCs w:val="22"/>
        </w:rPr>
      </w:pPr>
      <w:r w:rsidRPr="00FF10DB">
        <w:rPr>
          <w:rFonts w:eastAsia="Calibri" w:cs="Arial"/>
          <w:sz w:val="22"/>
          <w:szCs w:val="22"/>
        </w:rPr>
        <w:t xml:space="preserve">ESMA seemingly has suggested in its draft guidelines </w:t>
      </w:r>
      <w:r w:rsidR="00757C86" w:rsidRPr="00FF10DB">
        <w:rPr>
          <w:rFonts w:eastAsia="Calibri" w:cs="Arial"/>
          <w:sz w:val="22"/>
          <w:szCs w:val="22"/>
        </w:rPr>
        <w:t>(</w:t>
      </w:r>
      <w:r w:rsidR="00870C3B" w:rsidRPr="00FF10DB">
        <w:rPr>
          <w:rFonts w:eastAsia="Calibri" w:cs="Arial"/>
          <w:sz w:val="22"/>
          <w:szCs w:val="22"/>
        </w:rPr>
        <w:t>paragraph</w:t>
      </w:r>
      <w:r w:rsidR="00757C86" w:rsidRPr="00FF10DB">
        <w:rPr>
          <w:rFonts w:eastAsia="Calibri" w:cs="Arial"/>
          <w:sz w:val="22"/>
          <w:szCs w:val="22"/>
        </w:rPr>
        <w:t>s</w:t>
      </w:r>
      <w:r w:rsidR="00870C3B" w:rsidRPr="00FF10DB">
        <w:rPr>
          <w:rFonts w:eastAsia="Calibri" w:cs="Arial"/>
          <w:sz w:val="22"/>
          <w:szCs w:val="22"/>
        </w:rPr>
        <w:t xml:space="preserve"> 12(d) and 15</w:t>
      </w:r>
      <w:r w:rsidR="00757C86" w:rsidRPr="00FF10DB">
        <w:rPr>
          <w:rFonts w:eastAsia="Calibri" w:cs="Arial"/>
          <w:sz w:val="22"/>
          <w:szCs w:val="22"/>
        </w:rPr>
        <w:t>)</w:t>
      </w:r>
      <w:r w:rsidR="00870C3B" w:rsidRPr="00FF10DB">
        <w:rPr>
          <w:rFonts w:eastAsia="Calibri" w:cs="Arial"/>
          <w:sz w:val="22"/>
          <w:szCs w:val="22"/>
        </w:rPr>
        <w:t xml:space="preserve"> that in cases of transfers </w:t>
      </w:r>
      <w:r w:rsidRPr="00FF10DB">
        <w:rPr>
          <w:rFonts w:eastAsia="Calibri" w:cs="Arial"/>
          <w:sz w:val="22"/>
          <w:szCs w:val="22"/>
        </w:rPr>
        <w:t xml:space="preserve">that are only executed </w:t>
      </w:r>
      <w:r w:rsidR="00870C3B" w:rsidRPr="00FF10DB">
        <w:rPr>
          <w:rFonts w:eastAsia="Calibri" w:cs="Arial"/>
          <w:sz w:val="22"/>
          <w:szCs w:val="22"/>
        </w:rPr>
        <w:t xml:space="preserve">in the books of an account provider </w:t>
      </w:r>
      <w:r w:rsidRPr="00FF10DB">
        <w:rPr>
          <w:rFonts w:eastAsia="Calibri" w:cs="Arial"/>
          <w:sz w:val="22"/>
          <w:szCs w:val="22"/>
        </w:rPr>
        <w:t xml:space="preserve">(i.e. a sub-custodian or global custodian) </w:t>
      </w:r>
      <w:r w:rsidR="00870C3B" w:rsidRPr="00FF10DB">
        <w:rPr>
          <w:rFonts w:eastAsia="Calibri" w:cs="Arial"/>
          <w:sz w:val="22"/>
          <w:szCs w:val="22"/>
        </w:rPr>
        <w:t>between two accounts of the same account holder</w:t>
      </w:r>
      <w:r w:rsidR="00757C86" w:rsidRPr="00FF10DB">
        <w:rPr>
          <w:rFonts w:eastAsia="Calibri" w:cs="Arial"/>
          <w:sz w:val="22"/>
          <w:szCs w:val="22"/>
        </w:rPr>
        <w:t>,</w:t>
      </w:r>
      <w:r w:rsidRPr="00FF10DB">
        <w:rPr>
          <w:rFonts w:eastAsia="Calibri" w:cs="Arial"/>
          <w:sz w:val="22"/>
          <w:szCs w:val="22"/>
        </w:rPr>
        <w:t xml:space="preserve"> it should be the </w:t>
      </w:r>
      <w:r w:rsidR="00870C3B" w:rsidRPr="00FF10DB">
        <w:rPr>
          <w:rFonts w:eastAsia="Calibri" w:cs="Arial"/>
          <w:sz w:val="22"/>
          <w:szCs w:val="22"/>
        </w:rPr>
        <w:t xml:space="preserve">account </w:t>
      </w:r>
      <w:r w:rsidR="00870C3B" w:rsidRPr="00FF10DB">
        <w:rPr>
          <w:rFonts w:eastAsia="Calibri" w:cs="Arial"/>
          <w:sz w:val="22"/>
          <w:szCs w:val="22"/>
          <w:u w:val="single"/>
        </w:rPr>
        <w:t>holder</w:t>
      </w:r>
      <w:r w:rsidR="00870C3B" w:rsidRPr="00FF10DB">
        <w:rPr>
          <w:rFonts w:eastAsia="Calibri" w:cs="Arial"/>
          <w:sz w:val="22"/>
          <w:szCs w:val="22"/>
        </w:rPr>
        <w:t xml:space="preserve"> </w:t>
      </w:r>
      <w:r w:rsidR="00757C86" w:rsidRPr="00FF10DB">
        <w:rPr>
          <w:rFonts w:eastAsia="Calibri" w:cs="Arial"/>
          <w:sz w:val="22"/>
          <w:szCs w:val="22"/>
        </w:rPr>
        <w:t xml:space="preserve">which is </w:t>
      </w:r>
      <w:r w:rsidRPr="00FF10DB">
        <w:rPr>
          <w:rFonts w:eastAsia="Calibri" w:cs="Arial"/>
          <w:sz w:val="22"/>
          <w:szCs w:val="22"/>
        </w:rPr>
        <w:t xml:space="preserve">the reporting entity </w:t>
      </w:r>
      <w:r w:rsidR="00870C3B" w:rsidRPr="00FF10DB">
        <w:rPr>
          <w:rFonts w:eastAsia="Calibri" w:cs="Arial"/>
          <w:sz w:val="22"/>
          <w:szCs w:val="22"/>
        </w:rPr>
        <w:t xml:space="preserve">and not, as in all other cases, the account </w:t>
      </w:r>
      <w:r w:rsidR="00870C3B" w:rsidRPr="00FF10DB">
        <w:rPr>
          <w:rFonts w:eastAsia="Calibri" w:cs="Arial"/>
          <w:sz w:val="22"/>
          <w:szCs w:val="22"/>
          <w:u w:val="single"/>
        </w:rPr>
        <w:t>provider</w:t>
      </w:r>
      <w:r w:rsidRPr="00FF10DB">
        <w:rPr>
          <w:rFonts w:eastAsia="Calibri" w:cs="Arial"/>
          <w:sz w:val="22"/>
          <w:szCs w:val="22"/>
        </w:rPr>
        <w:t xml:space="preserve">. The </w:t>
      </w:r>
      <w:r w:rsidR="00757C86" w:rsidRPr="00FF10DB">
        <w:rPr>
          <w:rFonts w:eastAsia="Calibri" w:cs="Arial"/>
          <w:sz w:val="22"/>
          <w:szCs w:val="22"/>
        </w:rPr>
        <w:t>C</w:t>
      </w:r>
      <w:r w:rsidRPr="00FF10DB">
        <w:rPr>
          <w:rFonts w:eastAsia="Calibri" w:cs="Arial"/>
          <w:sz w:val="22"/>
          <w:szCs w:val="22"/>
        </w:rPr>
        <w:t xml:space="preserve">ommittee believes that </w:t>
      </w:r>
      <w:r w:rsidR="00870C3B" w:rsidRPr="00FF10DB">
        <w:rPr>
          <w:rFonts w:eastAsia="Calibri" w:cs="Arial"/>
          <w:sz w:val="22"/>
          <w:szCs w:val="22"/>
        </w:rPr>
        <w:t xml:space="preserve">this inconsistency </w:t>
      </w:r>
      <w:r w:rsidRPr="00FF10DB">
        <w:rPr>
          <w:rFonts w:eastAsia="Calibri" w:cs="Arial"/>
          <w:sz w:val="22"/>
          <w:szCs w:val="22"/>
        </w:rPr>
        <w:t>in the draft could</w:t>
      </w:r>
      <w:r w:rsidR="00870C3B" w:rsidRPr="00FF10DB">
        <w:rPr>
          <w:rFonts w:eastAsia="Calibri" w:cs="Arial"/>
          <w:sz w:val="22"/>
          <w:szCs w:val="22"/>
        </w:rPr>
        <w:t xml:space="preserve"> place a great burden on both account holders and account providers</w:t>
      </w:r>
      <w:r w:rsidRPr="00FF10DB">
        <w:rPr>
          <w:rFonts w:eastAsia="Calibri" w:cs="Arial"/>
          <w:sz w:val="22"/>
          <w:szCs w:val="22"/>
        </w:rPr>
        <w:t xml:space="preserve">, </w:t>
      </w:r>
      <w:r w:rsidR="00870C3B" w:rsidRPr="00FF10DB">
        <w:rPr>
          <w:rFonts w:eastAsia="Calibri" w:cs="Arial"/>
          <w:sz w:val="22"/>
          <w:szCs w:val="22"/>
        </w:rPr>
        <w:t>as both will need to determine whether they should report</w:t>
      </w:r>
      <w:r w:rsidRPr="00FF10DB">
        <w:rPr>
          <w:rFonts w:eastAsia="Calibri" w:cs="Arial"/>
          <w:sz w:val="22"/>
          <w:szCs w:val="22"/>
        </w:rPr>
        <w:t>. Given the many different scenarios that may occur</w:t>
      </w:r>
      <w:r w:rsidR="00757C86" w:rsidRPr="00FF10DB">
        <w:rPr>
          <w:rFonts w:eastAsia="Calibri" w:cs="Arial"/>
          <w:sz w:val="22"/>
          <w:szCs w:val="22"/>
        </w:rPr>
        <w:t>,</w:t>
      </w:r>
      <w:r w:rsidRPr="00FF10DB">
        <w:rPr>
          <w:rFonts w:eastAsia="Calibri" w:cs="Arial"/>
          <w:sz w:val="22"/>
          <w:szCs w:val="22"/>
        </w:rPr>
        <w:t xml:space="preserve"> the current text will </w:t>
      </w:r>
      <w:r w:rsidR="00870C3B" w:rsidRPr="00FF10DB">
        <w:rPr>
          <w:rFonts w:eastAsia="Calibri" w:cs="Arial"/>
          <w:sz w:val="22"/>
          <w:szCs w:val="22"/>
        </w:rPr>
        <w:t>generate cases both of under- and of over-reporting</w:t>
      </w:r>
      <w:r w:rsidRPr="00FF10DB">
        <w:rPr>
          <w:rFonts w:eastAsia="Calibri" w:cs="Arial"/>
          <w:sz w:val="22"/>
          <w:szCs w:val="22"/>
        </w:rPr>
        <w:t xml:space="preserve">. </w:t>
      </w:r>
    </w:p>
    <w:p w:rsidR="00870C3B" w:rsidRPr="00FF10DB" w:rsidRDefault="00204D43" w:rsidP="00204D43">
      <w:pPr>
        <w:jc w:val="both"/>
        <w:rPr>
          <w:rFonts w:eastAsia="Calibri" w:cs="Arial"/>
          <w:sz w:val="22"/>
          <w:szCs w:val="22"/>
        </w:rPr>
      </w:pPr>
      <w:r w:rsidRPr="00FF10DB">
        <w:rPr>
          <w:rFonts w:eastAsia="Calibri" w:cs="Arial"/>
          <w:sz w:val="22"/>
          <w:szCs w:val="22"/>
        </w:rPr>
        <w:t>The Committee</w:t>
      </w:r>
      <w:r w:rsidR="00870C3B" w:rsidRPr="00FF10DB">
        <w:rPr>
          <w:rFonts w:eastAsia="Calibri" w:cs="Arial"/>
          <w:sz w:val="22"/>
          <w:szCs w:val="22"/>
        </w:rPr>
        <w:t xml:space="preserve"> believes that there should be a consistent application of the simple rule that in the event of transfers between accounts in the books of an account provider</w:t>
      </w:r>
      <w:r w:rsidR="00757C86" w:rsidRPr="00FF10DB">
        <w:rPr>
          <w:rFonts w:eastAsia="Calibri" w:cs="Arial"/>
          <w:sz w:val="22"/>
          <w:szCs w:val="22"/>
        </w:rPr>
        <w:t>,</w:t>
      </w:r>
      <w:r w:rsidR="00870C3B" w:rsidRPr="00FF10DB">
        <w:rPr>
          <w:rFonts w:eastAsia="Calibri" w:cs="Arial"/>
          <w:sz w:val="22"/>
          <w:szCs w:val="22"/>
        </w:rPr>
        <w:t xml:space="preserve"> then the account provider reports.</w:t>
      </w:r>
      <w:r w:rsidRPr="00FF10DB">
        <w:rPr>
          <w:rFonts w:eastAsia="Calibri" w:cs="Arial"/>
          <w:sz w:val="22"/>
          <w:szCs w:val="22"/>
        </w:rPr>
        <w:t xml:space="preserve"> This interpretation would clearly be in line with the general approach ESMA has adopted in its introductory sentence to para</w:t>
      </w:r>
      <w:r w:rsidR="00757C86" w:rsidRPr="00FF10DB">
        <w:rPr>
          <w:rFonts w:eastAsia="Calibri" w:cs="Arial"/>
          <w:sz w:val="22"/>
          <w:szCs w:val="22"/>
        </w:rPr>
        <w:t>graph</w:t>
      </w:r>
      <w:r w:rsidRPr="00FF10DB">
        <w:rPr>
          <w:rFonts w:eastAsia="Calibri" w:cs="Arial"/>
          <w:sz w:val="22"/>
          <w:szCs w:val="22"/>
        </w:rPr>
        <w:t xml:space="preserve"> 15</w:t>
      </w:r>
      <w:r w:rsidR="00757C86" w:rsidRPr="00FF10DB">
        <w:rPr>
          <w:rFonts w:eastAsia="Calibri" w:cs="Arial"/>
          <w:sz w:val="22"/>
          <w:szCs w:val="22"/>
        </w:rPr>
        <w:t xml:space="preserve"> of the draft guidelines</w:t>
      </w:r>
      <w:r w:rsidRPr="00FF10DB">
        <w:rPr>
          <w:rFonts w:eastAsia="Calibri" w:cs="Arial"/>
          <w:sz w:val="22"/>
          <w:szCs w:val="22"/>
        </w:rPr>
        <w:t xml:space="preserve">. </w:t>
      </w:r>
    </w:p>
    <w:p w:rsidR="00870C3B" w:rsidRPr="00FF10DB" w:rsidRDefault="00204D43" w:rsidP="00204D43">
      <w:pPr>
        <w:pStyle w:val="ListParagraph"/>
        <w:numPr>
          <w:ilvl w:val="0"/>
          <w:numId w:val="1"/>
        </w:numPr>
        <w:jc w:val="both"/>
        <w:rPr>
          <w:rFonts w:eastAsia="Century Gothic" w:cs="Times New Roman"/>
          <w:b/>
          <w:color w:val="2D659A"/>
          <w:sz w:val="22"/>
          <w:szCs w:val="22"/>
          <w:lang w:val="en-GB"/>
        </w:rPr>
      </w:pPr>
      <w:r w:rsidRPr="00FF10DB">
        <w:rPr>
          <w:rFonts w:eastAsia="Century Gothic" w:cs="Times New Roman"/>
          <w:b/>
          <w:color w:val="2D659A"/>
          <w:sz w:val="22"/>
          <w:szCs w:val="22"/>
          <w:lang w:val="en-GB"/>
        </w:rPr>
        <w:t>N</w:t>
      </w:r>
      <w:r w:rsidR="00870C3B" w:rsidRPr="00FF10DB">
        <w:rPr>
          <w:rFonts w:eastAsia="Century Gothic" w:cs="Times New Roman"/>
          <w:b/>
          <w:color w:val="2D659A"/>
          <w:sz w:val="22"/>
          <w:szCs w:val="22"/>
          <w:lang w:val="en-GB"/>
        </w:rPr>
        <w:t>on-EU securities</w:t>
      </w:r>
    </w:p>
    <w:p w:rsidR="00870C3B" w:rsidRPr="00FF10DB" w:rsidRDefault="00204D43" w:rsidP="00204D43">
      <w:pPr>
        <w:jc w:val="both"/>
        <w:rPr>
          <w:rFonts w:eastAsia="Calibri" w:cs="Arial"/>
          <w:sz w:val="22"/>
          <w:szCs w:val="22"/>
        </w:rPr>
      </w:pPr>
      <w:r w:rsidRPr="00FF10DB">
        <w:rPr>
          <w:rFonts w:eastAsia="Calibri" w:cs="Arial"/>
          <w:sz w:val="22"/>
          <w:szCs w:val="22"/>
          <w:lang w:val="en-GB"/>
        </w:rPr>
        <w:t xml:space="preserve">The Committee believes that </w:t>
      </w:r>
      <w:r w:rsidR="00870C3B" w:rsidRPr="00FF10DB">
        <w:rPr>
          <w:rFonts w:eastAsia="Calibri" w:cs="Arial"/>
          <w:sz w:val="22"/>
          <w:szCs w:val="22"/>
        </w:rPr>
        <w:t>the reporting obligation, as set out in paragraph 13(b)</w:t>
      </w:r>
      <w:r w:rsidR="00757C86" w:rsidRPr="00FF10DB">
        <w:rPr>
          <w:rFonts w:eastAsia="Calibri" w:cs="Arial"/>
          <w:sz w:val="22"/>
          <w:szCs w:val="22"/>
        </w:rPr>
        <w:t xml:space="preserve"> of the draft guidelines</w:t>
      </w:r>
      <w:r w:rsidR="00870C3B" w:rsidRPr="00FF10DB">
        <w:rPr>
          <w:rFonts w:eastAsia="Calibri" w:cs="Arial"/>
          <w:sz w:val="22"/>
          <w:szCs w:val="22"/>
        </w:rPr>
        <w:t>, is confusingly drafted, is far too broad, and in practice would be very difficult to meet</w:t>
      </w:r>
      <w:r w:rsidR="00757C86" w:rsidRPr="00FF10DB">
        <w:rPr>
          <w:rFonts w:eastAsia="Calibri" w:cs="Arial"/>
          <w:sz w:val="22"/>
          <w:szCs w:val="22"/>
        </w:rPr>
        <w:t>.</w:t>
      </w:r>
      <w:r w:rsidR="00870C3B" w:rsidRPr="00FF10DB">
        <w:rPr>
          <w:rFonts w:eastAsia="Calibri" w:cs="Arial"/>
          <w:sz w:val="22"/>
          <w:szCs w:val="22"/>
        </w:rPr>
        <w:t xml:space="preserve"> </w:t>
      </w:r>
      <w:r w:rsidR="00757C86" w:rsidRPr="00FF10DB">
        <w:rPr>
          <w:rFonts w:eastAsia="Calibri" w:cs="Arial"/>
          <w:sz w:val="22"/>
          <w:szCs w:val="22"/>
        </w:rPr>
        <w:t>T</w:t>
      </w:r>
      <w:r w:rsidR="00870C3B" w:rsidRPr="00FF10DB">
        <w:rPr>
          <w:rFonts w:eastAsia="Calibri" w:cs="Arial"/>
          <w:sz w:val="22"/>
          <w:szCs w:val="22"/>
        </w:rPr>
        <w:t>he proposed rule should be replaced by a practical, operational rule</w:t>
      </w:r>
      <w:r w:rsidR="00757C86" w:rsidRPr="00FF10DB">
        <w:rPr>
          <w:rFonts w:eastAsia="Calibri" w:cs="Arial"/>
          <w:sz w:val="22"/>
          <w:szCs w:val="22"/>
        </w:rPr>
        <w:t>:</w:t>
      </w:r>
      <w:r w:rsidR="00870C3B" w:rsidRPr="00FF10DB">
        <w:rPr>
          <w:rFonts w:eastAsia="Calibri" w:cs="Arial"/>
          <w:sz w:val="22"/>
          <w:szCs w:val="22"/>
        </w:rPr>
        <w:t xml:space="preserve"> in </w:t>
      </w:r>
      <w:r w:rsidR="00757C86" w:rsidRPr="00FF10DB">
        <w:rPr>
          <w:rFonts w:eastAsia="Calibri" w:cs="Arial"/>
          <w:sz w:val="22"/>
          <w:szCs w:val="22"/>
        </w:rPr>
        <w:t xml:space="preserve">its </w:t>
      </w:r>
      <w:r w:rsidR="00870C3B" w:rsidRPr="00FF10DB">
        <w:rPr>
          <w:rFonts w:eastAsia="Calibri" w:cs="Arial"/>
          <w:sz w:val="22"/>
          <w:szCs w:val="22"/>
        </w:rPr>
        <w:t xml:space="preserve">response </w:t>
      </w:r>
      <w:r w:rsidRPr="00FF10DB">
        <w:rPr>
          <w:rFonts w:eastAsia="Calibri" w:cs="Arial"/>
          <w:sz w:val="22"/>
          <w:szCs w:val="22"/>
        </w:rPr>
        <w:t>AFME</w:t>
      </w:r>
      <w:r w:rsidR="00870C3B" w:rsidRPr="00FF10DB">
        <w:rPr>
          <w:rFonts w:eastAsia="Calibri" w:cs="Arial"/>
          <w:sz w:val="22"/>
          <w:szCs w:val="22"/>
        </w:rPr>
        <w:t xml:space="preserve"> ma</w:t>
      </w:r>
      <w:r w:rsidRPr="00FF10DB">
        <w:rPr>
          <w:rFonts w:eastAsia="Calibri" w:cs="Arial"/>
          <w:sz w:val="22"/>
          <w:szCs w:val="22"/>
        </w:rPr>
        <w:t>k</w:t>
      </w:r>
      <w:r w:rsidR="00757C86" w:rsidRPr="00FF10DB">
        <w:rPr>
          <w:rFonts w:eastAsia="Calibri" w:cs="Arial"/>
          <w:sz w:val="22"/>
          <w:szCs w:val="22"/>
        </w:rPr>
        <w:t>es</w:t>
      </w:r>
      <w:r w:rsidRPr="00FF10DB">
        <w:rPr>
          <w:rFonts w:eastAsia="Calibri" w:cs="Arial"/>
          <w:sz w:val="22"/>
          <w:szCs w:val="22"/>
        </w:rPr>
        <w:t xml:space="preserve"> a proposal for such a rule to focus on the foreseen place of settlement (</w:t>
      </w:r>
      <w:r w:rsidR="00757C86" w:rsidRPr="00FF10DB">
        <w:rPr>
          <w:rFonts w:eastAsia="Calibri" w:cs="Arial"/>
          <w:sz w:val="22"/>
          <w:szCs w:val="22"/>
        </w:rPr>
        <w:t>“</w:t>
      </w:r>
      <w:r w:rsidRPr="00FF10DB">
        <w:rPr>
          <w:rFonts w:eastAsia="Calibri" w:cs="Arial"/>
          <w:sz w:val="22"/>
          <w:szCs w:val="22"/>
        </w:rPr>
        <w:t>PSET</w:t>
      </w:r>
      <w:r w:rsidR="00757C86" w:rsidRPr="00FF10DB">
        <w:rPr>
          <w:rFonts w:eastAsia="Calibri" w:cs="Arial"/>
          <w:sz w:val="22"/>
          <w:szCs w:val="22"/>
        </w:rPr>
        <w:t>”</w:t>
      </w:r>
      <w:r w:rsidRPr="00FF10DB">
        <w:rPr>
          <w:rFonts w:eastAsia="Calibri" w:cs="Arial"/>
          <w:sz w:val="22"/>
          <w:szCs w:val="22"/>
        </w:rPr>
        <w:t xml:space="preserve">) that is part of the client’s settlement instruction. </w:t>
      </w:r>
    </w:p>
    <w:p w:rsidR="00870C3B" w:rsidRPr="00FF10DB" w:rsidRDefault="00870C3B" w:rsidP="00870C3B">
      <w:pPr>
        <w:ind w:left="360" w:hanging="360"/>
        <w:jc w:val="both"/>
        <w:rPr>
          <w:rFonts w:eastAsia="Century Gothic" w:cs="Times New Roman"/>
          <w:color w:val="2D659A"/>
          <w:sz w:val="22"/>
          <w:szCs w:val="22"/>
          <w:lang w:val="en-GB"/>
        </w:rPr>
      </w:pPr>
    </w:p>
    <w:p w:rsidR="00870C3B" w:rsidRPr="00FF10DB" w:rsidRDefault="00870C3B" w:rsidP="00204D43">
      <w:pPr>
        <w:pStyle w:val="ListParagraph"/>
        <w:numPr>
          <w:ilvl w:val="0"/>
          <w:numId w:val="1"/>
        </w:numPr>
        <w:jc w:val="both"/>
        <w:rPr>
          <w:rFonts w:eastAsia="Century Gothic" w:cs="Times New Roman"/>
          <w:b/>
          <w:color w:val="2D659A"/>
          <w:sz w:val="22"/>
          <w:szCs w:val="22"/>
          <w:lang w:val="en-GB"/>
        </w:rPr>
      </w:pPr>
      <w:r w:rsidRPr="00FF10DB">
        <w:rPr>
          <w:rFonts w:eastAsia="Century Gothic" w:cs="Times New Roman"/>
          <w:b/>
          <w:color w:val="2D659A"/>
          <w:sz w:val="22"/>
          <w:szCs w:val="22"/>
          <w:lang w:val="en-GB"/>
        </w:rPr>
        <w:t>Source of pricing information</w:t>
      </w:r>
    </w:p>
    <w:p w:rsidR="00870C3B" w:rsidRPr="00FF10DB" w:rsidRDefault="00204D43" w:rsidP="00204D43">
      <w:pPr>
        <w:jc w:val="both"/>
        <w:rPr>
          <w:rFonts w:eastAsia="Calibri" w:cs="Arial"/>
          <w:sz w:val="22"/>
          <w:szCs w:val="22"/>
        </w:rPr>
      </w:pPr>
      <w:r w:rsidRPr="00FF10DB">
        <w:rPr>
          <w:rFonts w:eastAsia="Calibri" w:cs="Arial"/>
          <w:sz w:val="22"/>
          <w:szCs w:val="22"/>
        </w:rPr>
        <w:lastRenderedPageBreak/>
        <w:t>While not explicitly consulted on, the Committee</w:t>
      </w:r>
      <w:r w:rsidR="00870C3B" w:rsidRPr="00FF10DB">
        <w:rPr>
          <w:rFonts w:eastAsia="Calibri" w:cs="Arial"/>
          <w:sz w:val="22"/>
          <w:szCs w:val="22"/>
        </w:rPr>
        <w:t xml:space="preserve"> believe</w:t>
      </w:r>
      <w:r w:rsidRPr="00FF10DB">
        <w:rPr>
          <w:rFonts w:eastAsia="Calibri" w:cs="Arial"/>
          <w:sz w:val="22"/>
          <w:szCs w:val="22"/>
        </w:rPr>
        <w:t>s</w:t>
      </w:r>
      <w:r w:rsidR="00870C3B" w:rsidRPr="00FF10DB">
        <w:rPr>
          <w:rFonts w:eastAsia="Calibri" w:cs="Arial"/>
          <w:sz w:val="22"/>
          <w:szCs w:val="22"/>
        </w:rPr>
        <w:t xml:space="preserve"> that rules set out in the Level 2 text with respect to the source of pricing information for free</w:t>
      </w:r>
      <w:r w:rsidR="00757C86" w:rsidRPr="00FF10DB">
        <w:rPr>
          <w:rFonts w:eastAsia="Calibri" w:cs="Arial"/>
          <w:sz w:val="22"/>
          <w:szCs w:val="22"/>
        </w:rPr>
        <w:t>-</w:t>
      </w:r>
      <w:r w:rsidR="00870C3B" w:rsidRPr="00FF10DB">
        <w:rPr>
          <w:rFonts w:eastAsia="Calibri" w:cs="Arial"/>
          <w:sz w:val="22"/>
          <w:szCs w:val="22"/>
        </w:rPr>
        <w:t>of</w:t>
      </w:r>
      <w:r w:rsidR="00757C86" w:rsidRPr="00FF10DB">
        <w:rPr>
          <w:rFonts w:eastAsia="Calibri" w:cs="Arial"/>
          <w:sz w:val="22"/>
          <w:szCs w:val="22"/>
        </w:rPr>
        <w:t>-</w:t>
      </w:r>
      <w:r w:rsidR="00870C3B" w:rsidRPr="00FF10DB">
        <w:rPr>
          <w:rFonts w:eastAsia="Calibri" w:cs="Arial"/>
          <w:sz w:val="22"/>
          <w:szCs w:val="22"/>
        </w:rPr>
        <w:t xml:space="preserve">payment transfers are both unnecessary and very burdensome. </w:t>
      </w:r>
      <w:r w:rsidRPr="00FF10DB">
        <w:rPr>
          <w:rFonts w:eastAsia="Calibri" w:cs="Arial"/>
          <w:sz w:val="22"/>
          <w:szCs w:val="22"/>
        </w:rPr>
        <w:t>I</w:t>
      </w:r>
      <w:r w:rsidR="00870C3B" w:rsidRPr="00FF10DB">
        <w:rPr>
          <w:rFonts w:eastAsia="Calibri" w:cs="Arial"/>
          <w:sz w:val="22"/>
          <w:szCs w:val="22"/>
        </w:rPr>
        <w:t>n the context of three</w:t>
      </w:r>
      <w:r w:rsidR="00757C86" w:rsidRPr="00FF10DB">
        <w:rPr>
          <w:rFonts w:eastAsia="Calibri" w:cs="Arial"/>
          <w:sz w:val="22"/>
          <w:szCs w:val="22"/>
        </w:rPr>
        <w:t>-</w:t>
      </w:r>
      <w:r w:rsidR="00870C3B" w:rsidRPr="00FF10DB">
        <w:rPr>
          <w:rFonts w:eastAsia="Calibri" w:cs="Arial"/>
          <w:sz w:val="22"/>
          <w:szCs w:val="22"/>
        </w:rPr>
        <w:t>monthly aggregated reports</w:t>
      </w:r>
      <w:r w:rsidR="00757C86" w:rsidRPr="00FF10DB">
        <w:rPr>
          <w:rFonts w:eastAsia="Calibri" w:cs="Arial"/>
          <w:sz w:val="22"/>
          <w:szCs w:val="22"/>
        </w:rPr>
        <w:t>,</w:t>
      </w:r>
      <w:r w:rsidR="00870C3B" w:rsidRPr="00FF10DB">
        <w:rPr>
          <w:rFonts w:eastAsia="Calibri" w:cs="Arial"/>
          <w:sz w:val="22"/>
          <w:szCs w:val="22"/>
        </w:rPr>
        <w:t xml:space="preserve"> the problem of very minor pricing differences for some limited types of transfer would appear to be very marginal. </w:t>
      </w:r>
      <w:r w:rsidRPr="00FF10DB">
        <w:rPr>
          <w:rFonts w:eastAsia="Calibri" w:cs="Arial"/>
          <w:sz w:val="22"/>
          <w:szCs w:val="22"/>
        </w:rPr>
        <w:t xml:space="preserve">In addition the rules seem to be </w:t>
      </w:r>
      <w:r w:rsidR="00757C86" w:rsidRPr="00FF10DB">
        <w:rPr>
          <w:rFonts w:eastAsia="Calibri" w:cs="Arial"/>
          <w:sz w:val="22"/>
          <w:szCs w:val="22"/>
        </w:rPr>
        <w:t xml:space="preserve">unduly </w:t>
      </w:r>
      <w:r w:rsidR="00870C3B" w:rsidRPr="00FF10DB">
        <w:rPr>
          <w:rFonts w:eastAsia="Calibri" w:cs="Arial"/>
          <w:sz w:val="22"/>
          <w:szCs w:val="22"/>
        </w:rPr>
        <w:t xml:space="preserve">burdensome as each </w:t>
      </w:r>
      <w:r w:rsidRPr="00FF10DB">
        <w:rPr>
          <w:rFonts w:eastAsia="Calibri" w:cs="Arial"/>
          <w:sz w:val="22"/>
          <w:szCs w:val="22"/>
        </w:rPr>
        <w:t xml:space="preserve">settlement </w:t>
      </w:r>
      <w:proofErr w:type="spellStart"/>
      <w:r w:rsidRPr="00FF10DB">
        <w:rPr>
          <w:rFonts w:eastAsia="Calibri" w:cs="Arial"/>
          <w:sz w:val="22"/>
          <w:szCs w:val="22"/>
        </w:rPr>
        <w:t>internaliser</w:t>
      </w:r>
      <w:proofErr w:type="spellEnd"/>
      <w:r w:rsidR="00870C3B" w:rsidRPr="00FF10DB">
        <w:rPr>
          <w:rFonts w:eastAsia="Calibri" w:cs="Arial"/>
          <w:sz w:val="22"/>
          <w:szCs w:val="22"/>
        </w:rPr>
        <w:t xml:space="preserve"> may need to change its process for sourcing and updating price information in its securities database, and would appear to need a “pre-determined” methodology that is “approved” by the NCA. We believe that there is a need for ESMA to develop a workable process that can be set out in the </w:t>
      </w:r>
      <w:r w:rsidR="00757C86" w:rsidRPr="00FF10DB">
        <w:rPr>
          <w:rFonts w:eastAsia="Calibri" w:cs="Arial"/>
          <w:sz w:val="22"/>
          <w:szCs w:val="22"/>
        </w:rPr>
        <w:t>g</w:t>
      </w:r>
      <w:r w:rsidR="00870C3B" w:rsidRPr="00FF10DB">
        <w:rPr>
          <w:rFonts w:eastAsia="Calibri" w:cs="Arial"/>
          <w:sz w:val="22"/>
          <w:szCs w:val="22"/>
        </w:rPr>
        <w:t>uidelines. We believe that synergies are possible with the pricing information that will be needed for the calculation of CSDR late settlement penalties.</w:t>
      </w:r>
    </w:p>
    <w:p w:rsidR="00204D43" w:rsidRPr="00FF10DB" w:rsidRDefault="00204D43">
      <w:pPr>
        <w:rPr>
          <w:rFonts w:eastAsia="Calibri" w:cs="Arial"/>
          <w:sz w:val="22"/>
          <w:szCs w:val="22"/>
        </w:rPr>
      </w:pPr>
      <w:r w:rsidRPr="00FF10DB">
        <w:rPr>
          <w:rFonts w:eastAsia="Calibri" w:cs="Arial"/>
          <w:sz w:val="22"/>
          <w:szCs w:val="22"/>
        </w:rPr>
        <w:t xml:space="preserve">The Committee hopes that ESMA will find these additional comments useful in its </w:t>
      </w:r>
      <w:bookmarkStart w:id="0" w:name="_GoBack"/>
      <w:r w:rsidRPr="00FF10DB">
        <w:rPr>
          <w:rFonts w:eastAsia="Calibri" w:cs="Arial"/>
          <w:sz w:val="22"/>
          <w:szCs w:val="22"/>
        </w:rPr>
        <w:t xml:space="preserve">process to </w:t>
      </w:r>
      <w:proofErr w:type="spellStart"/>
      <w:r w:rsidRPr="00FF10DB">
        <w:rPr>
          <w:rFonts w:eastAsia="Calibri" w:cs="Arial"/>
          <w:sz w:val="22"/>
          <w:szCs w:val="22"/>
        </w:rPr>
        <w:t>finalise</w:t>
      </w:r>
      <w:proofErr w:type="spellEnd"/>
      <w:r w:rsidRPr="00FF10DB">
        <w:rPr>
          <w:rFonts w:eastAsia="Calibri" w:cs="Arial"/>
          <w:sz w:val="22"/>
          <w:szCs w:val="22"/>
        </w:rPr>
        <w:t xml:space="preserve"> its guidelines and </w:t>
      </w:r>
      <w:r w:rsidR="00757C86" w:rsidRPr="00FF10DB">
        <w:rPr>
          <w:rFonts w:eastAsia="Calibri" w:cs="Arial"/>
          <w:sz w:val="22"/>
          <w:szCs w:val="22"/>
        </w:rPr>
        <w:t xml:space="preserve">the Committee </w:t>
      </w:r>
      <w:r w:rsidRPr="00FF10DB">
        <w:rPr>
          <w:rFonts w:eastAsia="Calibri" w:cs="Arial"/>
          <w:sz w:val="22"/>
          <w:szCs w:val="22"/>
        </w:rPr>
        <w:t>stand</w:t>
      </w:r>
      <w:r w:rsidR="00757C86" w:rsidRPr="00FF10DB">
        <w:rPr>
          <w:rFonts w:eastAsia="Calibri" w:cs="Arial"/>
          <w:sz w:val="22"/>
          <w:szCs w:val="22"/>
        </w:rPr>
        <w:t>s</w:t>
      </w:r>
      <w:r w:rsidRPr="00FF10DB">
        <w:rPr>
          <w:rFonts w:eastAsia="Calibri" w:cs="Arial"/>
          <w:sz w:val="22"/>
          <w:szCs w:val="22"/>
        </w:rPr>
        <w:t xml:space="preserve"> ready for any additional questions that may arise. </w:t>
      </w:r>
    </w:p>
    <w:p w:rsidR="00204D43" w:rsidRPr="00FF10DB" w:rsidRDefault="00204D43">
      <w:pPr>
        <w:rPr>
          <w:rFonts w:eastAsia="Calibri" w:cs="Arial"/>
          <w:sz w:val="22"/>
          <w:szCs w:val="22"/>
        </w:rPr>
      </w:pPr>
    </w:p>
    <w:p w:rsidR="00FF10DB" w:rsidRDefault="00FF10DB">
      <w:pPr>
        <w:rPr>
          <w:rFonts w:eastAsia="Calibri" w:cs="Arial"/>
          <w:sz w:val="22"/>
          <w:szCs w:val="22"/>
        </w:rPr>
      </w:pPr>
      <w:r>
        <w:rPr>
          <w:rFonts w:eastAsia="Calibri" w:cs="Arial"/>
          <w:sz w:val="22"/>
          <w:szCs w:val="22"/>
        </w:rPr>
        <w:t>Laura Bates</w:t>
      </w:r>
    </w:p>
    <w:p w:rsidR="00FF10DB" w:rsidRDefault="00FF10DB">
      <w:pPr>
        <w:rPr>
          <w:rFonts w:eastAsia="Calibri" w:cs="Arial"/>
          <w:sz w:val="22"/>
          <w:szCs w:val="22"/>
        </w:rPr>
      </w:pPr>
      <w:r>
        <w:rPr>
          <w:rFonts w:eastAsia="Calibri" w:cs="Arial"/>
          <w:sz w:val="22"/>
          <w:szCs w:val="22"/>
        </w:rPr>
        <w:t xml:space="preserve">Committee Secretary </w:t>
      </w:r>
    </w:p>
    <w:bookmarkEnd w:id="0"/>
    <w:p w:rsidR="00720C79" w:rsidRPr="00FF10DB" w:rsidRDefault="00FF10DB">
      <w:pPr>
        <w:rPr>
          <w:sz w:val="22"/>
          <w:szCs w:val="22"/>
        </w:rPr>
      </w:pPr>
      <w:r>
        <w:rPr>
          <w:rFonts w:eastAsia="Calibri" w:cs="Arial"/>
          <w:sz w:val="22"/>
          <w:szCs w:val="22"/>
        </w:rPr>
        <w:t>For and on behalf of the European Focus Committee of the Association of Global Custodians</w:t>
      </w:r>
      <w:r w:rsidRPr="00FF10DB">
        <w:rPr>
          <w:rFonts w:eastAsia="Calibri" w:cs="Arial"/>
          <w:sz w:val="22"/>
          <w:szCs w:val="22"/>
        </w:rPr>
        <w:t xml:space="preserve">   </w:t>
      </w:r>
    </w:p>
    <w:sectPr w:rsidR="00720C79" w:rsidRPr="00FF10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805" w:rsidRDefault="00534805" w:rsidP="00870C3B">
      <w:pPr>
        <w:spacing w:after="0"/>
      </w:pPr>
      <w:r>
        <w:separator/>
      </w:r>
    </w:p>
  </w:endnote>
  <w:endnote w:type="continuationSeparator" w:id="0">
    <w:p w:rsidR="00534805" w:rsidRDefault="00534805" w:rsidP="00870C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3B" w:rsidRDefault="00870C3B" w:rsidP="00B27CA1">
    <w:pPr>
      <w:pStyle w:val="Footer"/>
      <w:jc w:val="center"/>
    </w:pPr>
    <w:r>
      <w:t xml:space="preserve"> </w:t>
    </w:r>
    <w:r>
      <w:fldChar w:fldCharType="begin"/>
    </w:r>
    <w:r w:rsidRPr="00B27CA1">
      <w:instrText xml:space="preserve"> DOCPROPERTY "aliashDocumentMarking"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3B" w:rsidRDefault="00870C3B" w:rsidP="00B27CA1">
    <w:pPr>
      <w:pStyle w:val="Footer"/>
      <w:jc w:val="center"/>
    </w:pPr>
    <w:r>
      <w:t xml:space="preserve"> </w:t>
    </w:r>
    <w:r>
      <w:fldChar w:fldCharType="begin"/>
    </w:r>
    <w:r w:rsidRPr="00B27CA1">
      <w:instrText xml:space="preserve"> DOCPROPERTY "aliashDocumentMarking"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3B" w:rsidRDefault="00870C3B" w:rsidP="00B27CA1">
    <w:pPr>
      <w:pStyle w:val="Footer"/>
      <w:jc w:val="center"/>
    </w:pPr>
    <w:r>
      <w:t xml:space="preserve"> </w:t>
    </w:r>
    <w:r>
      <w:fldChar w:fldCharType="begin"/>
    </w:r>
    <w:r w:rsidRPr="00B27CA1">
      <w:instrText xml:space="preserve"> DOCPROPERTY "aliashDocumentMarking"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805" w:rsidRDefault="00534805" w:rsidP="00870C3B">
      <w:pPr>
        <w:spacing w:after="0"/>
      </w:pPr>
      <w:r>
        <w:separator/>
      </w:r>
    </w:p>
  </w:footnote>
  <w:footnote w:type="continuationSeparator" w:id="0">
    <w:p w:rsidR="00534805" w:rsidRDefault="00534805" w:rsidP="00870C3B">
      <w:pPr>
        <w:spacing w:after="0"/>
      </w:pPr>
      <w:r>
        <w:continuationSeparator/>
      </w:r>
    </w:p>
  </w:footnote>
  <w:footnote w:id="1">
    <w:p w:rsidR="00FF10DB" w:rsidRPr="00FB1635" w:rsidRDefault="00FF10DB" w:rsidP="00FF10DB">
      <w:pPr>
        <w:pStyle w:val="FootnoteText"/>
      </w:pPr>
      <w:r w:rsidRPr="00FB1635">
        <w:rPr>
          <w:rStyle w:val="FootnoteReference"/>
        </w:rPr>
        <w:footnoteRef/>
      </w:r>
      <w:r w:rsidRPr="00FB1635">
        <w:t xml:space="preserve"> The members of the Association of Global Custodians are: BNP Paribas; BNY Mellon; Brown Brothers Harriman &amp; Co; Citibank, N.A.; Deutsche Bank; HSBC Securities Services; JP Morgan; Northern Trust; RBC Investor &amp; Treasury Services; </w:t>
      </w:r>
      <w:proofErr w:type="spellStart"/>
      <w:r w:rsidRPr="00FB1635">
        <w:t>Skandinaviska</w:t>
      </w:r>
      <w:proofErr w:type="spellEnd"/>
      <w:r w:rsidRPr="00FB1635">
        <w:t xml:space="preserve"> </w:t>
      </w:r>
      <w:proofErr w:type="spellStart"/>
      <w:r w:rsidRPr="00FB1635">
        <w:t>Enskilda</w:t>
      </w:r>
      <w:proofErr w:type="spellEnd"/>
      <w:r w:rsidRPr="00FB1635">
        <w:t xml:space="preserve"> </w:t>
      </w:r>
      <w:proofErr w:type="spellStart"/>
      <w:r w:rsidRPr="00FB1635">
        <w:t>Banken</w:t>
      </w:r>
      <w:proofErr w:type="spellEnd"/>
      <w:r w:rsidRPr="00FB1635">
        <w:t>; Standard Chartered Bank; and State Street Bank and Trust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3B" w:rsidRDefault="00870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3B" w:rsidRDefault="00870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3B" w:rsidRDefault="00870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96B57"/>
    <w:multiLevelType w:val="hybridMultilevel"/>
    <w:tmpl w:val="0762A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Laura"/>
    <w:docVar w:name="FSAuthorEmail" w:val="Laura.Bates@fieldfisher.com"/>
    <w:docVar w:name="FSAuthorExt" w:val="+44 207 861 4795"/>
    <w:docVar w:name="FSAuthorFax" w:val="+44 207 488 0084"/>
    <w:docVar w:name="FSAuthorLogon" w:val="LBT"/>
    <w:docVar w:name="FSAuthorName" w:val="Bates, Laura"/>
    <w:docVar w:name="FSAuthorOffice" w:val="London"/>
    <w:docVar w:name="FSAuthorSurname" w:val="Bates"/>
    <w:docVar w:name="FSAuthorTitle" w:val="Consultant"/>
    <w:docVar w:name="FSDocNumber" w:val="65432660"/>
    <w:docVar w:name="FSDocVersion" w:val="1"/>
    <w:docVar w:name="FSTypist" w:val="LBT"/>
    <w:docVar w:name="FSTypistExt" w:val="+44 207 861 4795"/>
    <w:docVar w:name="FSTypistLogon" w:val="LBT"/>
    <w:docVar w:name="FSTypistName" w:val="Bates, Laura"/>
    <w:docVar w:name="zTimeOpened" w:val="14-Sep-2017 16:06:12"/>
  </w:docVars>
  <w:rsids>
    <w:rsidRoot w:val="00870C3B"/>
    <w:rsid w:val="00204D43"/>
    <w:rsid w:val="003A569B"/>
    <w:rsid w:val="00534805"/>
    <w:rsid w:val="00720C79"/>
    <w:rsid w:val="00757C86"/>
    <w:rsid w:val="007B4EF9"/>
    <w:rsid w:val="00870C3B"/>
    <w:rsid w:val="00A97096"/>
    <w:rsid w:val="00B27CA1"/>
    <w:rsid w:val="00CD3C7A"/>
    <w:rsid w:val="00EB4820"/>
    <w:rsid w:val="00FF1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209B1-C85A-409E-8CAC-D62D0E6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870C3B"/>
    <w:pPr>
      <w:suppressAutoHyphens/>
      <w:spacing w:after="120" w:line="240" w:lineRule="auto"/>
    </w:pPr>
    <w:rPr>
      <w:rFonts w:ascii="Verdana" w:hAnsi="Verdana"/>
      <w:color w:val="44546A" w:themeColor="text2"/>
      <w:sz w:val="17"/>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3B"/>
    <w:pPr>
      <w:tabs>
        <w:tab w:val="center" w:pos="4536"/>
        <w:tab w:val="right" w:pos="9072"/>
      </w:tabs>
      <w:spacing w:after="0"/>
    </w:pPr>
  </w:style>
  <w:style w:type="character" w:customStyle="1" w:styleId="HeaderChar">
    <w:name w:val="Header Char"/>
    <w:basedOn w:val="DefaultParagraphFont"/>
    <w:link w:val="Header"/>
    <w:uiPriority w:val="99"/>
    <w:rsid w:val="00870C3B"/>
    <w:rPr>
      <w:rFonts w:ascii="Verdana" w:hAnsi="Verdana"/>
      <w:color w:val="44546A" w:themeColor="text2"/>
      <w:sz w:val="17"/>
      <w:szCs w:val="24"/>
      <w:lang w:val="en-US"/>
    </w:rPr>
  </w:style>
  <w:style w:type="paragraph" w:styleId="Footer">
    <w:name w:val="footer"/>
    <w:basedOn w:val="Normal"/>
    <w:link w:val="FooterChar"/>
    <w:uiPriority w:val="99"/>
    <w:unhideWhenUsed/>
    <w:rsid w:val="00870C3B"/>
    <w:pPr>
      <w:tabs>
        <w:tab w:val="center" w:pos="4536"/>
        <w:tab w:val="right" w:pos="9072"/>
      </w:tabs>
      <w:spacing w:after="0"/>
    </w:pPr>
  </w:style>
  <w:style w:type="character" w:customStyle="1" w:styleId="FooterChar">
    <w:name w:val="Footer Char"/>
    <w:basedOn w:val="DefaultParagraphFont"/>
    <w:link w:val="Footer"/>
    <w:uiPriority w:val="99"/>
    <w:rsid w:val="00870C3B"/>
    <w:rPr>
      <w:rFonts w:ascii="Verdana" w:hAnsi="Verdana"/>
      <w:color w:val="44546A" w:themeColor="text2"/>
      <w:sz w:val="17"/>
      <w:szCs w:val="24"/>
      <w:lang w:val="en-US"/>
    </w:rPr>
  </w:style>
  <w:style w:type="paragraph" w:styleId="ListParagraph">
    <w:name w:val="List Paragraph"/>
    <w:basedOn w:val="Normal"/>
    <w:uiPriority w:val="34"/>
    <w:qFormat/>
    <w:rsid w:val="00204D43"/>
    <w:pPr>
      <w:ind w:left="720"/>
      <w:contextualSpacing/>
    </w:pPr>
  </w:style>
  <w:style w:type="paragraph" w:styleId="FootnoteText">
    <w:name w:val="footnote text"/>
    <w:basedOn w:val="Normal"/>
    <w:link w:val="FootnoteTextChar"/>
    <w:unhideWhenUsed/>
    <w:qFormat/>
    <w:rsid w:val="00204D43"/>
    <w:pPr>
      <w:spacing w:after="0"/>
    </w:pPr>
    <w:rPr>
      <w:sz w:val="20"/>
      <w:szCs w:val="20"/>
    </w:rPr>
  </w:style>
  <w:style w:type="character" w:customStyle="1" w:styleId="FootnoteTextChar">
    <w:name w:val="Footnote Text Char"/>
    <w:basedOn w:val="DefaultParagraphFont"/>
    <w:link w:val="FootnoteText"/>
    <w:rsid w:val="00204D43"/>
    <w:rPr>
      <w:rFonts w:ascii="Verdana" w:hAnsi="Verdana"/>
      <w:color w:val="44546A" w:themeColor="text2"/>
      <w:sz w:val="20"/>
      <w:szCs w:val="20"/>
      <w:lang w:val="en-US"/>
    </w:rPr>
  </w:style>
  <w:style w:type="character" w:styleId="FootnoteReference">
    <w:name w:val="footnote reference"/>
    <w:aliases w:val="Footnote Reference Number,Footnote Reference_LVL6,Footnote Reference_LVL61,Footnote Reference_LVL62,Footnote Reference_LVL63,Footnote Reference_LVL64,Footnote symbol,SUPERS,Footnote reference number,note TESI,-E Fußnotenzeichen"/>
    <w:basedOn w:val="DefaultParagraphFont"/>
    <w:uiPriority w:val="6"/>
    <w:unhideWhenUsed/>
    <w:rsid w:val="00204D43"/>
    <w:rPr>
      <w:vertAlign w:val="superscript"/>
    </w:rPr>
  </w:style>
  <w:style w:type="paragraph" w:styleId="BalloonText">
    <w:name w:val="Balloon Text"/>
    <w:basedOn w:val="Normal"/>
    <w:link w:val="BalloonTextChar"/>
    <w:uiPriority w:val="99"/>
    <w:semiHidden/>
    <w:unhideWhenUsed/>
    <w:rsid w:val="00757C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86"/>
    <w:rPr>
      <w:rFonts w:ascii="Segoe UI" w:hAnsi="Segoe UI" w:cs="Segoe UI"/>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893FA-C47E-44C2-BA17-A3A595BB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Niederheide</dc:creator>
  <cp:keywords>External Communication</cp:keywords>
  <dc:description/>
  <cp:lastModifiedBy>Laura Williams</cp:lastModifiedBy>
  <cp:revision>2</cp:revision>
  <dcterms:created xsi:type="dcterms:W3CDTF">2017-09-14T15:11:00Z</dcterms:created>
  <dcterms:modified xsi:type="dcterms:W3CDTF">2017-09-14T15:11:00Z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e1351c44-7e34-4b0d-b106-00d93c4a4dda</vt:lpwstr>
  </property>
  <property fmtid="{D5CDD505-2E9C-101B-9397-08002B2CF9AE}" pid="3" name="aliashDocumentMarking">
    <vt:lpwstr/>
  </property>
  <property fmtid="{D5CDD505-2E9C-101B-9397-08002B2CF9AE}" pid="4" name="db.comClassification">
    <vt:lpwstr>External Communication</vt:lpwstr>
  </property>
</Properties>
</file>