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5EBA" w14:textId="77777777" w:rsidR="00E57599" w:rsidRDefault="00E57599" w:rsidP="00E57599">
      <w:pPr>
        <w:keepNext/>
        <w:keepLines/>
        <w:spacing w:before="400"/>
        <w:jc w:val="both"/>
        <w:outlineLvl w:val="0"/>
        <w:rPr>
          <w:rFonts w:eastAsia="Times New Roman" w:cs="Times New Roman"/>
          <w:b/>
          <w:color w:val="006E95"/>
          <w:sz w:val="36"/>
          <w:szCs w:val="36"/>
          <w:lang w:val="en-GB"/>
        </w:rPr>
      </w:pPr>
      <w:r>
        <w:rPr>
          <w:rFonts w:eastAsia="Times New Roman" w:cs="Times New Roman"/>
          <w:b/>
          <w:color w:val="006E95"/>
          <w:sz w:val="36"/>
          <w:szCs w:val="36"/>
          <w:lang w:val="en-GB"/>
        </w:rPr>
        <w:t xml:space="preserve">AFTI response </w:t>
      </w:r>
      <w:r w:rsidRPr="009B5442">
        <w:rPr>
          <w:rFonts w:eastAsia="Times New Roman" w:cs="Times New Roman"/>
          <w:b/>
          <w:color w:val="006E95"/>
          <w:sz w:val="36"/>
          <w:szCs w:val="36"/>
          <w:lang w:val="en-GB"/>
        </w:rPr>
        <w:t>on CSDR Guidelines on Internalised Settlement Reporting</w:t>
      </w:r>
    </w:p>
    <w:p w14:paraId="729EC448" w14:textId="77777777" w:rsidR="00E57599" w:rsidRDefault="00E57599" w:rsidP="00E57599">
      <w:pPr>
        <w:keepNext/>
        <w:keepLines/>
        <w:spacing w:before="400"/>
        <w:jc w:val="both"/>
        <w:outlineLvl w:val="0"/>
        <w:rPr>
          <w:rFonts w:eastAsia="Times New Roman" w:cs="Times New Roman"/>
          <w:b/>
          <w:color w:val="006E95"/>
          <w:sz w:val="36"/>
          <w:szCs w:val="36"/>
          <w:lang w:val="en-GB"/>
        </w:rPr>
      </w:pPr>
    </w:p>
    <w:p w14:paraId="4FDCFFA2" w14:textId="77777777" w:rsidR="00E57599" w:rsidRPr="00E57599" w:rsidRDefault="00E57599" w:rsidP="00E57599">
      <w:pPr>
        <w:ind w:left="360" w:hanging="360"/>
        <w:jc w:val="both"/>
        <w:rPr>
          <w:rFonts w:eastAsia="Century Gothic" w:cs="Times New Roman"/>
          <w:color w:val="2D659A"/>
          <w:sz w:val="20"/>
          <w:lang w:val="en-GB"/>
        </w:rPr>
      </w:pPr>
      <w:r w:rsidRPr="00E57599">
        <w:rPr>
          <w:rFonts w:eastAsia="Century Gothic" w:cs="Times New Roman"/>
          <w:color w:val="2D659A"/>
          <w:sz w:val="20"/>
          <w:lang w:val="en-GB"/>
        </w:rPr>
        <w:t xml:space="preserve">The Association </w:t>
      </w:r>
      <w:proofErr w:type="spellStart"/>
      <w:r w:rsidRPr="00E57599">
        <w:rPr>
          <w:rFonts w:eastAsia="Century Gothic" w:cs="Times New Roman"/>
          <w:color w:val="2D659A"/>
          <w:sz w:val="20"/>
          <w:lang w:val="en-GB"/>
        </w:rPr>
        <w:t>Française</w:t>
      </w:r>
      <w:proofErr w:type="spellEnd"/>
      <w:r w:rsidRPr="00E57599">
        <w:rPr>
          <w:rFonts w:eastAsia="Century Gothic" w:cs="Times New Roman"/>
          <w:color w:val="2D659A"/>
          <w:sz w:val="20"/>
          <w:lang w:val="en-GB"/>
        </w:rPr>
        <w:t xml:space="preserve"> des </w:t>
      </w:r>
      <w:proofErr w:type="spellStart"/>
      <w:r w:rsidRPr="00E57599">
        <w:rPr>
          <w:rFonts w:eastAsia="Century Gothic" w:cs="Times New Roman"/>
          <w:color w:val="2D659A"/>
          <w:sz w:val="20"/>
          <w:lang w:val="en-GB"/>
        </w:rPr>
        <w:t>Professionnels</w:t>
      </w:r>
      <w:proofErr w:type="spellEnd"/>
      <w:r w:rsidRPr="00E57599">
        <w:rPr>
          <w:rFonts w:eastAsia="Century Gothic" w:cs="Times New Roman"/>
          <w:color w:val="2D659A"/>
          <w:sz w:val="20"/>
          <w:lang w:val="en-GB"/>
        </w:rPr>
        <w:t xml:space="preserve"> des Titres (AFTI), is the leading association representing post-trade businesses in France and Europe. AFTI has over 100 members covering a wide range of activities, including market infrastructures, custodians, account holders and depositaries, issuer services providers, as well as reporting and data providers. All together, they employ about 28,000 people in Europe of which 16,000 are in France. Members acting as financial intermediaries account for 26% of European custody activity, with €55.6 trillion in assets under custody and 25-30% of the European fund asset servicing sector (depositaries and fund administrators).  In addition, in 2016, French market infrastructures settled 29 million instructions (CSD) and cleared 730 million transactions (CCP).</w:t>
      </w:r>
    </w:p>
    <w:p w14:paraId="6C47BEE5" w14:textId="77777777" w:rsidR="00E57599" w:rsidRDefault="00E57599" w:rsidP="00E57599">
      <w:pPr>
        <w:jc w:val="both"/>
        <w:rPr>
          <w:rFonts w:eastAsia="Century Gothic" w:cs="Times New Roman"/>
          <w:b/>
          <w:color w:val="2D659A"/>
          <w:sz w:val="20"/>
          <w:lang w:val="en-GB"/>
        </w:rPr>
      </w:pPr>
    </w:p>
    <w:p w14:paraId="17733741" w14:textId="77777777" w:rsidR="00E57599" w:rsidRPr="00C95C01" w:rsidRDefault="00E57599" w:rsidP="00E57599">
      <w:pPr>
        <w:jc w:val="both"/>
        <w:rPr>
          <w:rFonts w:eastAsia="Century Gothic" w:cs="Times New Roman"/>
          <w:b/>
          <w:color w:val="2D659A"/>
          <w:sz w:val="20"/>
          <w:lang w:val="en-GB"/>
        </w:rPr>
      </w:pPr>
      <w:r w:rsidRPr="00C95C01">
        <w:rPr>
          <w:rFonts w:eastAsia="Century Gothic" w:cs="Times New Roman"/>
          <w:b/>
          <w:color w:val="2D659A"/>
          <w:sz w:val="20"/>
          <w:lang w:val="en-GB"/>
        </w:rPr>
        <w:t>Key points:</w:t>
      </w:r>
    </w:p>
    <w:p w14:paraId="3A1B66FF" w14:textId="77777777" w:rsidR="00E57599" w:rsidRDefault="00E57599" w:rsidP="00E57599">
      <w:pPr>
        <w:ind w:left="360" w:hanging="360"/>
        <w:jc w:val="both"/>
        <w:rPr>
          <w:rFonts w:eastAsia="Century Gothic" w:cs="Times New Roman"/>
          <w:color w:val="2D659A"/>
          <w:sz w:val="20"/>
          <w:lang w:val="en-GB"/>
        </w:rPr>
      </w:pPr>
      <w:r>
        <w:rPr>
          <w:rFonts w:eastAsia="Century Gothic" w:cs="Times New Roman"/>
          <w:color w:val="2D659A"/>
          <w:sz w:val="20"/>
          <w:lang w:val="en-GB"/>
        </w:rPr>
        <w:t>AFTI</w:t>
      </w:r>
      <w:r w:rsidRPr="00C95C01">
        <w:rPr>
          <w:rFonts w:eastAsia="Century Gothic" w:cs="Times New Roman"/>
          <w:color w:val="2D659A"/>
          <w:sz w:val="20"/>
          <w:lang w:val="en-GB"/>
        </w:rPr>
        <w:t xml:space="preserve"> welcomes ESMA’s Consultation Paper (CP). The reporting on internalised settlements is a very important issue for EBF members in the context of the CSDR implementation and we fully appreciate the clarifications </w:t>
      </w:r>
      <w:r>
        <w:rPr>
          <w:rFonts w:eastAsia="Century Gothic" w:cs="Times New Roman"/>
          <w:color w:val="2D659A"/>
          <w:sz w:val="20"/>
          <w:lang w:val="en-GB"/>
        </w:rPr>
        <w:t>proposed</w:t>
      </w:r>
      <w:r w:rsidRPr="00C95C01">
        <w:rPr>
          <w:rFonts w:eastAsia="Century Gothic" w:cs="Times New Roman"/>
          <w:color w:val="2D659A"/>
          <w:sz w:val="20"/>
          <w:lang w:val="en-GB"/>
        </w:rPr>
        <w:t xml:space="preserve"> by ESMA in this CP. At the same time, we also believe there is still need for some further refinement on certain points</w:t>
      </w:r>
      <w:r>
        <w:rPr>
          <w:rFonts w:eastAsia="Century Gothic" w:cs="Times New Roman"/>
          <w:color w:val="2D659A"/>
          <w:sz w:val="20"/>
          <w:lang w:val="en-GB"/>
        </w:rPr>
        <w:t>, both conceptually and technically</w:t>
      </w:r>
      <w:r w:rsidRPr="00C95C01">
        <w:rPr>
          <w:rFonts w:eastAsia="Century Gothic" w:cs="Times New Roman"/>
          <w:color w:val="2D659A"/>
          <w:sz w:val="20"/>
          <w:lang w:val="en-GB"/>
        </w:rPr>
        <w:t>.</w:t>
      </w:r>
    </w:p>
    <w:p w14:paraId="484B08D2" w14:textId="77777777" w:rsidR="00E57599" w:rsidRDefault="00E57599" w:rsidP="00E57599">
      <w:pPr>
        <w:ind w:left="360" w:hanging="360"/>
        <w:jc w:val="both"/>
        <w:rPr>
          <w:rFonts w:eastAsia="Century Gothic" w:cs="Times New Roman"/>
          <w:color w:val="2D659A"/>
          <w:sz w:val="20"/>
          <w:lang w:val="en-GB"/>
        </w:rPr>
      </w:pPr>
    </w:p>
    <w:p w14:paraId="019E455F" w14:textId="77777777" w:rsidR="00E57599" w:rsidRDefault="00E57599" w:rsidP="00E57599">
      <w:pPr>
        <w:ind w:left="360" w:hanging="360"/>
        <w:jc w:val="both"/>
        <w:rPr>
          <w:rFonts w:eastAsia="Century Gothic" w:cs="Times New Roman"/>
          <w:color w:val="2D659A"/>
          <w:sz w:val="20"/>
          <w:lang w:val="en-GB"/>
        </w:rPr>
      </w:pPr>
      <w:r>
        <w:rPr>
          <w:rFonts w:eastAsia="Century Gothic" w:cs="Times New Roman"/>
          <w:color w:val="2D659A"/>
          <w:sz w:val="20"/>
          <w:lang w:val="en-GB"/>
        </w:rPr>
        <w:t>AFTI sees two major issues in the ESMA proposed guidelines, and one other major issue that is not covered by the consultation paper. It also has a set of other detailed comments.</w:t>
      </w:r>
    </w:p>
    <w:p w14:paraId="2FD80243" w14:textId="15F514A9" w:rsidR="00E57599" w:rsidRDefault="00E57599" w:rsidP="00E57599">
      <w:pPr>
        <w:ind w:left="360" w:hanging="360"/>
        <w:jc w:val="both"/>
        <w:rPr>
          <w:rFonts w:eastAsia="Century Gothic" w:cs="Times New Roman"/>
          <w:color w:val="2D659A"/>
          <w:sz w:val="20"/>
          <w:lang w:val="en-GB"/>
        </w:rPr>
      </w:pPr>
      <w:r>
        <w:rPr>
          <w:rFonts w:eastAsia="Century Gothic" w:cs="Times New Roman"/>
          <w:color w:val="2D659A"/>
          <w:sz w:val="20"/>
          <w:lang w:val="en-GB"/>
        </w:rPr>
        <w:t xml:space="preserve">The </w:t>
      </w:r>
      <w:r w:rsidR="002E05E6">
        <w:rPr>
          <w:rFonts w:eastAsia="Century Gothic" w:cs="Times New Roman"/>
          <w:color w:val="2D659A"/>
          <w:sz w:val="20"/>
          <w:lang w:val="en-GB"/>
        </w:rPr>
        <w:t>four</w:t>
      </w:r>
      <w:r>
        <w:rPr>
          <w:rFonts w:eastAsia="Century Gothic" w:cs="Times New Roman"/>
          <w:color w:val="2D659A"/>
          <w:sz w:val="20"/>
          <w:lang w:val="en-GB"/>
        </w:rPr>
        <w:t xml:space="preserve"> major issues in the ESMA consultation paper are:</w:t>
      </w:r>
    </w:p>
    <w:p w14:paraId="0CDB9963" w14:textId="77777777" w:rsidR="00E57599" w:rsidRPr="00AB5019" w:rsidRDefault="00E57599" w:rsidP="00E57599">
      <w:pPr>
        <w:ind w:left="360" w:hanging="360"/>
        <w:jc w:val="both"/>
        <w:rPr>
          <w:rFonts w:eastAsia="Century Gothic" w:cs="Times New Roman"/>
          <w:b/>
          <w:color w:val="2D659A"/>
          <w:sz w:val="20"/>
          <w:lang w:val="en-GB"/>
        </w:rPr>
      </w:pPr>
      <w:r w:rsidRPr="00AB5019">
        <w:rPr>
          <w:rFonts w:eastAsia="Century Gothic" w:cs="Times New Roman"/>
          <w:b/>
          <w:color w:val="2D659A"/>
          <w:sz w:val="20"/>
          <w:lang w:val="en-GB"/>
        </w:rPr>
        <w:t>1/ account holder reporting</w:t>
      </w:r>
    </w:p>
    <w:p w14:paraId="5F983029" w14:textId="77777777" w:rsidR="00E57599" w:rsidRDefault="00E57599" w:rsidP="00E57599">
      <w:pPr>
        <w:ind w:left="360" w:hanging="360"/>
        <w:jc w:val="both"/>
        <w:rPr>
          <w:rFonts w:eastAsia="Century Gothic" w:cs="Times New Roman"/>
          <w:color w:val="2D659A"/>
          <w:sz w:val="20"/>
          <w:lang w:val="en-GB"/>
        </w:rPr>
      </w:pPr>
      <w:r>
        <w:rPr>
          <w:rFonts w:eastAsia="Century Gothic" w:cs="Times New Roman"/>
          <w:color w:val="2D659A"/>
          <w:sz w:val="20"/>
          <w:lang w:val="en-GB"/>
        </w:rPr>
        <w:t>i.e. the ruling, set out in paragraph 12 (d) and paragraph 15, that in cases of transfers in the books of an account provider between two accounts of the same account holder the account holder – and not, as in all other cases, the account provider – should report; this inconsistency will be a major source of confusion, will place a great burden on both account holders and account providers (as both will need to determine whether they should report), and – because of the multiplicity of different scenarios, for which the Guidelines give no guidance - will inevitably generate cases both of under- and of over-reporting;  AFTI</w:t>
      </w:r>
      <w:r w:rsidRPr="00980E45">
        <w:rPr>
          <w:rFonts w:eastAsia="Century Gothic" w:cs="Times New Roman"/>
          <w:color w:val="2D659A"/>
          <w:sz w:val="20"/>
          <w:lang w:val="en-GB"/>
        </w:rPr>
        <w:t xml:space="preserve"> believes that there should be a consistent application of the simple rule that in the event of transfers between accounts in the books of an account provider then the account provider reports</w:t>
      </w:r>
      <w:r>
        <w:rPr>
          <w:rFonts w:eastAsia="Century Gothic" w:cs="Times New Roman"/>
          <w:color w:val="2D659A"/>
          <w:sz w:val="20"/>
          <w:lang w:val="en-GB"/>
        </w:rPr>
        <w:t>.</w:t>
      </w:r>
    </w:p>
    <w:p w14:paraId="6C7C7822" w14:textId="77777777" w:rsidR="00E57599" w:rsidRPr="009F653F" w:rsidRDefault="00E57599" w:rsidP="00E57599">
      <w:pPr>
        <w:ind w:left="360" w:hanging="360"/>
        <w:jc w:val="both"/>
        <w:rPr>
          <w:rFonts w:eastAsia="Century Gothic" w:cs="Times New Roman"/>
          <w:b/>
          <w:color w:val="2D659A"/>
          <w:sz w:val="20"/>
          <w:lang w:val="fr-FR"/>
        </w:rPr>
      </w:pPr>
      <w:r w:rsidRPr="009F653F">
        <w:rPr>
          <w:rFonts w:eastAsia="Century Gothic" w:cs="Times New Roman"/>
          <w:b/>
          <w:color w:val="2D659A"/>
          <w:sz w:val="20"/>
          <w:lang w:val="fr-FR"/>
        </w:rPr>
        <w:t xml:space="preserve">2/ non-EU </w:t>
      </w:r>
      <w:proofErr w:type="spellStart"/>
      <w:r w:rsidRPr="009F653F">
        <w:rPr>
          <w:rFonts w:eastAsia="Century Gothic" w:cs="Times New Roman"/>
          <w:b/>
          <w:color w:val="2D659A"/>
          <w:sz w:val="20"/>
          <w:lang w:val="fr-FR"/>
        </w:rPr>
        <w:t>securities</w:t>
      </w:r>
      <w:proofErr w:type="spellEnd"/>
      <w:r w:rsidRPr="009F653F">
        <w:rPr>
          <w:rFonts w:eastAsia="Century Gothic" w:cs="Times New Roman"/>
          <w:b/>
          <w:color w:val="2D659A"/>
          <w:sz w:val="20"/>
          <w:lang w:val="fr-FR"/>
        </w:rPr>
        <w:t xml:space="preserve"> and multi </w:t>
      </w:r>
      <w:proofErr w:type="spellStart"/>
      <w:r w:rsidRPr="009F653F">
        <w:rPr>
          <w:rFonts w:eastAsia="Century Gothic" w:cs="Times New Roman"/>
          <w:b/>
          <w:color w:val="2D659A"/>
          <w:sz w:val="20"/>
          <w:lang w:val="fr-FR"/>
        </w:rPr>
        <w:t>listed</w:t>
      </w:r>
      <w:proofErr w:type="spellEnd"/>
      <w:r w:rsidRPr="009F653F">
        <w:rPr>
          <w:rFonts w:eastAsia="Century Gothic" w:cs="Times New Roman"/>
          <w:b/>
          <w:color w:val="2D659A"/>
          <w:sz w:val="20"/>
          <w:lang w:val="fr-FR"/>
        </w:rPr>
        <w:t xml:space="preserve"> </w:t>
      </w:r>
      <w:proofErr w:type="spellStart"/>
      <w:r w:rsidRPr="009F653F">
        <w:rPr>
          <w:rFonts w:eastAsia="Century Gothic" w:cs="Times New Roman"/>
          <w:b/>
          <w:color w:val="2D659A"/>
          <w:sz w:val="20"/>
          <w:lang w:val="fr-FR"/>
        </w:rPr>
        <w:t>securities</w:t>
      </w:r>
      <w:proofErr w:type="spellEnd"/>
      <w:r w:rsidRPr="009F653F">
        <w:rPr>
          <w:rFonts w:eastAsia="Century Gothic" w:cs="Times New Roman"/>
          <w:b/>
          <w:color w:val="2D659A"/>
          <w:sz w:val="20"/>
          <w:lang w:val="fr-FR"/>
        </w:rPr>
        <w:t xml:space="preserve"> (on EU and</w:t>
      </w:r>
      <w:r>
        <w:rPr>
          <w:rFonts w:eastAsia="Century Gothic" w:cs="Times New Roman"/>
          <w:b/>
          <w:color w:val="2D659A"/>
          <w:sz w:val="20"/>
          <w:lang w:val="fr-FR"/>
        </w:rPr>
        <w:t xml:space="preserve"> n</w:t>
      </w:r>
      <w:r w:rsidRPr="009F653F">
        <w:rPr>
          <w:rFonts w:eastAsia="Century Gothic" w:cs="Times New Roman"/>
          <w:b/>
          <w:color w:val="2D659A"/>
          <w:sz w:val="20"/>
          <w:lang w:val="fr-FR"/>
        </w:rPr>
        <w:t>on EU</w:t>
      </w:r>
      <w:r>
        <w:rPr>
          <w:rFonts w:eastAsia="Century Gothic" w:cs="Times New Roman"/>
          <w:b/>
          <w:color w:val="2D659A"/>
          <w:sz w:val="20"/>
          <w:lang w:val="fr-FR"/>
        </w:rPr>
        <w:t xml:space="preserve"> </w:t>
      </w:r>
      <w:proofErr w:type="spellStart"/>
      <w:r>
        <w:rPr>
          <w:rFonts w:eastAsia="Century Gothic" w:cs="Times New Roman"/>
          <w:b/>
          <w:color w:val="2D659A"/>
          <w:sz w:val="20"/>
          <w:lang w:val="fr-FR"/>
        </w:rPr>
        <w:t>markets</w:t>
      </w:r>
      <w:proofErr w:type="spellEnd"/>
      <w:r w:rsidRPr="009F653F">
        <w:rPr>
          <w:rFonts w:eastAsia="Century Gothic" w:cs="Times New Roman"/>
          <w:b/>
          <w:color w:val="2D659A"/>
          <w:sz w:val="20"/>
          <w:lang w:val="fr-FR"/>
        </w:rPr>
        <w:t>)</w:t>
      </w:r>
    </w:p>
    <w:p w14:paraId="7E19B3C6" w14:textId="03D8FA80" w:rsidR="00E57599" w:rsidRDefault="00E57599" w:rsidP="00E57599">
      <w:pPr>
        <w:ind w:left="360" w:hanging="360"/>
        <w:jc w:val="both"/>
        <w:rPr>
          <w:rFonts w:eastAsia="Century Gothic" w:cs="Times New Roman"/>
          <w:color w:val="2D659A"/>
          <w:sz w:val="20"/>
          <w:lang w:val="en-GB"/>
        </w:rPr>
      </w:pPr>
      <w:r w:rsidRPr="002E2A60">
        <w:rPr>
          <w:rFonts w:eastAsia="Century Gothic" w:cs="Times New Roman"/>
          <w:color w:val="2D659A"/>
          <w:sz w:val="20"/>
          <w:lang w:val="en-GB"/>
        </w:rPr>
        <w:t xml:space="preserve">the reporting obligation as it applies to securities issued in CSDs outside the EU; the reporting obligation, as set out in paragraph 13 (b), is confusingly drafted, is far too broad, and in practice would be very difficult to meet; </w:t>
      </w:r>
      <w:r w:rsidR="004C10CD">
        <w:rPr>
          <w:rFonts w:eastAsia="Century Gothic" w:cs="Times New Roman"/>
          <w:color w:val="2D659A"/>
          <w:sz w:val="20"/>
          <w:lang w:val="en-GB"/>
        </w:rPr>
        <w:t>AFTI</w:t>
      </w:r>
      <w:r>
        <w:rPr>
          <w:rFonts w:eastAsia="Century Gothic" w:cs="Times New Roman"/>
          <w:color w:val="2D659A"/>
          <w:sz w:val="20"/>
          <w:lang w:val="en-GB"/>
        </w:rPr>
        <w:t xml:space="preserve"> suggests a practical solution based on the “PSET” notion that is commonly used in the industry and would permit to clarify and solve other issues (multi listed securities on EU and non EU markets, financial instruments notions, </w:t>
      </w:r>
      <w:proofErr w:type="spellStart"/>
      <w:r>
        <w:rPr>
          <w:rFonts w:eastAsia="Century Gothic" w:cs="Times New Roman"/>
          <w:color w:val="2D659A"/>
          <w:sz w:val="20"/>
          <w:lang w:val="en-GB"/>
        </w:rPr>
        <w:t>etc</w:t>
      </w:r>
      <w:proofErr w:type="spellEnd"/>
      <w:r>
        <w:rPr>
          <w:rFonts w:eastAsia="Century Gothic" w:cs="Times New Roman"/>
          <w:color w:val="2D659A"/>
          <w:sz w:val="20"/>
          <w:lang w:val="en-GB"/>
        </w:rPr>
        <w:t xml:space="preserve">). </w:t>
      </w:r>
    </w:p>
    <w:p w14:paraId="4B33E664" w14:textId="77777777" w:rsidR="00297D78" w:rsidRDefault="00297D78" w:rsidP="00E57599">
      <w:pPr>
        <w:ind w:left="360" w:hanging="360"/>
        <w:jc w:val="both"/>
        <w:rPr>
          <w:rFonts w:eastAsia="Century Gothic" w:cs="Times New Roman"/>
          <w:color w:val="2D659A"/>
          <w:sz w:val="20"/>
          <w:lang w:val="en-GB"/>
        </w:rPr>
      </w:pPr>
    </w:p>
    <w:p w14:paraId="211A5BC7" w14:textId="77777777" w:rsidR="00297D78" w:rsidRDefault="00297D78" w:rsidP="00E57599">
      <w:pPr>
        <w:ind w:left="360" w:hanging="360"/>
        <w:jc w:val="both"/>
        <w:rPr>
          <w:rFonts w:eastAsia="Century Gothic" w:cs="Times New Roman"/>
          <w:color w:val="2D659A"/>
          <w:sz w:val="20"/>
          <w:lang w:val="en-GB"/>
        </w:rPr>
      </w:pPr>
    </w:p>
    <w:p w14:paraId="0B3FA5C8" w14:textId="77777777" w:rsidR="00297D78" w:rsidRDefault="00297D78" w:rsidP="00E57599">
      <w:pPr>
        <w:ind w:left="360" w:hanging="360"/>
        <w:jc w:val="both"/>
        <w:rPr>
          <w:rFonts w:eastAsia="Century Gothic" w:cs="Times New Roman"/>
          <w:color w:val="2D659A"/>
          <w:sz w:val="20"/>
          <w:lang w:val="en-GB"/>
        </w:rPr>
      </w:pPr>
    </w:p>
    <w:p w14:paraId="3B12A3D9" w14:textId="77777777" w:rsidR="00E57599" w:rsidRDefault="00E57599" w:rsidP="00E57599">
      <w:pPr>
        <w:ind w:left="360" w:hanging="360"/>
        <w:jc w:val="both"/>
        <w:rPr>
          <w:rFonts w:eastAsia="Century Gothic" w:cs="Times New Roman"/>
          <w:color w:val="2D659A"/>
          <w:sz w:val="20"/>
          <w:lang w:val="en-GB"/>
        </w:rPr>
      </w:pPr>
      <w:r>
        <w:rPr>
          <w:rFonts w:eastAsia="Century Gothic" w:cs="Times New Roman"/>
          <w:color w:val="2D659A"/>
          <w:sz w:val="20"/>
          <w:lang w:val="en-GB"/>
        </w:rPr>
        <w:lastRenderedPageBreak/>
        <w:t>The major issue that is not covered explicitly in the consultation paper is:</w:t>
      </w:r>
    </w:p>
    <w:p w14:paraId="55248B7B" w14:textId="77777777" w:rsidR="00E57599" w:rsidRPr="00D4181A" w:rsidRDefault="00E57599" w:rsidP="00E57599">
      <w:pPr>
        <w:ind w:left="360" w:hanging="360"/>
        <w:jc w:val="both"/>
        <w:rPr>
          <w:rFonts w:eastAsia="Century Gothic" w:cs="Times New Roman"/>
          <w:b/>
          <w:color w:val="2D659A"/>
          <w:sz w:val="20"/>
          <w:lang w:val="en-GB"/>
        </w:rPr>
      </w:pPr>
      <w:r w:rsidRPr="00D4181A">
        <w:rPr>
          <w:rFonts w:eastAsia="Century Gothic" w:cs="Times New Roman"/>
          <w:b/>
          <w:color w:val="2D659A"/>
          <w:sz w:val="20"/>
          <w:lang w:val="en-GB"/>
        </w:rPr>
        <w:t>3/ Source of pricing information</w:t>
      </w:r>
    </w:p>
    <w:p w14:paraId="7607CABE" w14:textId="77777777" w:rsidR="00E57599" w:rsidRDefault="00E57599" w:rsidP="00E57599">
      <w:pPr>
        <w:ind w:left="360" w:hanging="360"/>
        <w:jc w:val="both"/>
        <w:rPr>
          <w:rFonts w:eastAsia="Century Gothic" w:cs="Times New Roman"/>
          <w:color w:val="2D659A"/>
          <w:sz w:val="20"/>
          <w:lang w:val="en-GB"/>
        </w:rPr>
      </w:pPr>
      <w:r w:rsidRPr="00E57599">
        <w:rPr>
          <w:rFonts w:eastAsia="Century Gothic" w:cs="Times New Roman"/>
          <w:color w:val="2D659A"/>
          <w:sz w:val="20"/>
          <w:lang w:val="en-GB"/>
        </w:rPr>
        <w:t>As set out in our answer to question 6, we believe that rules set out in the Level 2 text with respect to the source of pricing information for free of payment transfers are both unnecessary and very burdensome. They are unnecessary as in the context of three monthly aggregated reports the problem of very minor pricing differences for some limited types of transfer would appear to be very marginal. They are very burdensome as each financial institution may need to change its process for sourcing and updating price information in its securities database, and would appear to need a “pre-determined” methodology that is “approved” by the NCA. We believe that there is a need for ESMA to develop a workable process that can be set out in the Guidelines. We believe that synergies are possible with the pricing information that will be needed for the calculation of CSDR late settlement penalties.</w:t>
      </w:r>
    </w:p>
    <w:p w14:paraId="76264852" w14:textId="77777777" w:rsidR="002E05E6" w:rsidRDefault="002E05E6" w:rsidP="00E57599">
      <w:pPr>
        <w:ind w:left="360" w:hanging="360"/>
        <w:jc w:val="both"/>
        <w:rPr>
          <w:rFonts w:eastAsia="Century Gothic" w:cs="Times New Roman"/>
          <w:color w:val="2D659A"/>
          <w:sz w:val="20"/>
          <w:lang w:val="en-GB"/>
        </w:rPr>
      </w:pPr>
    </w:p>
    <w:p w14:paraId="7199B60D" w14:textId="3F548B3C" w:rsidR="002E05E6" w:rsidRDefault="002E05E6" w:rsidP="002E05E6">
      <w:pPr>
        <w:ind w:left="360" w:hanging="360"/>
        <w:jc w:val="both"/>
        <w:rPr>
          <w:rFonts w:ascii="Calibri" w:hAnsi="Calibri"/>
          <w:b/>
          <w:bCs/>
          <w:color w:val="2D659A"/>
          <w:sz w:val="20"/>
          <w:szCs w:val="20"/>
          <w:lang w:val="en-GB"/>
        </w:rPr>
      </w:pPr>
      <w:r>
        <w:rPr>
          <w:b/>
          <w:bCs/>
          <w:color w:val="2D659A"/>
          <w:sz w:val="20"/>
          <w:szCs w:val="20"/>
          <w:lang w:val="en-GB"/>
        </w:rPr>
        <w:t>4/ Clarification regarding the legal prerequisites of a reporting obligation</w:t>
      </w:r>
    </w:p>
    <w:p w14:paraId="30E9F787" w14:textId="2F8EF0F7" w:rsidR="002E05E6" w:rsidRPr="002E05E6" w:rsidRDefault="002E05E6" w:rsidP="002E05E6">
      <w:pPr>
        <w:ind w:left="360" w:hanging="360"/>
        <w:jc w:val="both"/>
        <w:rPr>
          <w:rFonts w:eastAsia="Century Gothic" w:cs="Times New Roman"/>
          <w:color w:val="2D659A"/>
          <w:sz w:val="20"/>
          <w:lang w:val="en-GB"/>
        </w:rPr>
      </w:pPr>
      <w:r w:rsidRPr="002E05E6">
        <w:rPr>
          <w:rFonts w:eastAsia="Century Gothic" w:cs="Times New Roman"/>
          <w:color w:val="2D659A"/>
          <w:sz w:val="20"/>
          <w:lang w:val="en-GB"/>
        </w:rPr>
        <w:t xml:space="preserve">In the draft guidelines, ESMA clarifies which transactions are deemed to be in scope of the reporting obligation. The reporting obligation, however, is triggered by a movement of securities in the books of a settlement </w:t>
      </w:r>
      <w:proofErr w:type="spellStart"/>
      <w:r w:rsidRPr="002E05E6">
        <w:rPr>
          <w:rFonts w:eastAsia="Century Gothic" w:cs="Times New Roman"/>
          <w:color w:val="2D659A"/>
          <w:sz w:val="20"/>
          <w:lang w:val="en-GB"/>
        </w:rPr>
        <w:t>internaliser</w:t>
      </w:r>
      <w:proofErr w:type="spellEnd"/>
      <w:r w:rsidRPr="002E05E6">
        <w:rPr>
          <w:rFonts w:eastAsia="Century Gothic" w:cs="Times New Roman"/>
          <w:color w:val="2D659A"/>
          <w:sz w:val="20"/>
          <w:lang w:val="en-GB"/>
        </w:rPr>
        <w:t xml:space="preserve"> rather than by a certain type of transaction. In fact, the underlying cause of that movement is irrelevant for the question if the transaction is in scope of the reporting obligation. Consequently, misunderstandings could arise that certain kinds of transactions would determine the scope of the reporting obligation. To avoid such misunderstandings, </w:t>
      </w:r>
      <w:r>
        <w:rPr>
          <w:rFonts w:eastAsia="Century Gothic" w:cs="Times New Roman"/>
          <w:color w:val="2D659A"/>
          <w:sz w:val="20"/>
          <w:lang w:val="en-GB"/>
        </w:rPr>
        <w:t>AFTI</w:t>
      </w:r>
      <w:r w:rsidRPr="002E05E6">
        <w:rPr>
          <w:rFonts w:eastAsia="Century Gothic" w:cs="Times New Roman"/>
          <w:color w:val="2D659A"/>
          <w:sz w:val="20"/>
          <w:lang w:val="en-GB"/>
        </w:rPr>
        <w:t xml:space="preserve"> believes that a summary of the legal prerequisites for the reporting obligation should be included in the guidelines.</w:t>
      </w:r>
    </w:p>
    <w:p w14:paraId="1AC9B19D" w14:textId="77777777" w:rsidR="002E05E6" w:rsidRDefault="002E05E6" w:rsidP="002E05E6">
      <w:pPr>
        <w:ind w:left="360" w:hanging="360"/>
        <w:jc w:val="both"/>
        <w:rPr>
          <w:color w:val="2D659A"/>
          <w:sz w:val="20"/>
          <w:szCs w:val="20"/>
          <w:lang w:val="en-GB"/>
        </w:rPr>
      </w:pPr>
      <w:r>
        <w:rPr>
          <w:color w:val="2D659A"/>
          <w:sz w:val="20"/>
          <w:szCs w:val="20"/>
          <w:lang w:val="en-GB"/>
        </w:rPr>
        <w:t>Art. 9 CSDR and its level 2 determine the scope of the reporting obligation:</w:t>
      </w:r>
    </w:p>
    <w:p w14:paraId="46AF9705" w14:textId="77777777" w:rsidR="002E05E6" w:rsidRDefault="002E05E6" w:rsidP="002E05E6">
      <w:pPr>
        <w:numPr>
          <w:ilvl w:val="0"/>
          <w:numId w:val="8"/>
        </w:numPr>
        <w:suppressAutoHyphens w:val="0"/>
        <w:spacing w:after="0"/>
        <w:jc w:val="both"/>
        <w:rPr>
          <w:color w:val="2D659A"/>
          <w:sz w:val="20"/>
          <w:szCs w:val="20"/>
          <w:lang w:val="en-GB"/>
        </w:rPr>
      </w:pPr>
      <w:r>
        <w:rPr>
          <w:color w:val="2D659A"/>
          <w:sz w:val="20"/>
          <w:szCs w:val="20"/>
          <w:lang w:val="en-GB"/>
        </w:rPr>
        <w:t>Irrespective of the underlying legal cause, a movement of non-EU securities between securities accounts takes place in the books of an intermediary,</w:t>
      </w:r>
    </w:p>
    <w:p w14:paraId="5941837D" w14:textId="77777777" w:rsidR="002E05E6" w:rsidRDefault="002E05E6" w:rsidP="002E05E6">
      <w:pPr>
        <w:numPr>
          <w:ilvl w:val="0"/>
          <w:numId w:val="8"/>
        </w:numPr>
        <w:suppressAutoHyphens w:val="0"/>
        <w:spacing w:after="0"/>
        <w:jc w:val="both"/>
        <w:rPr>
          <w:color w:val="2D659A"/>
          <w:sz w:val="20"/>
          <w:szCs w:val="20"/>
          <w:lang w:val="en-GB"/>
        </w:rPr>
      </w:pPr>
      <w:proofErr w:type="gramStart"/>
      <w:r>
        <w:rPr>
          <w:color w:val="2D659A"/>
          <w:sz w:val="20"/>
          <w:szCs w:val="20"/>
          <w:lang w:val="en-GB"/>
        </w:rPr>
        <w:t>such</w:t>
      </w:r>
      <w:proofErr w:type="gramEnd"/>
      <w:r>
        <w:rPr>
          <w:color w:val="2D659A"/>
          <w:sz w:val="20"/>
          <w:szCs w:val="20"/>
          <w:lang w:val="en-GB"/>
        </w:rPr>
        <w:t xml:space="preserve"> movement would have taken place in an EU-CSD but instead only takes place in the books of the intermediary without any external parallel movement along the custody chain is a significant issue both conceptually and technically. What ESMA is proposing is too broad and, </w:t>
      </w:r>
    </w:p>
    <w:p w14:paraId="415E4919" w14:textId="77777777" w:rsidR="002E05E6" w:rsidRDefault="002E05E6" w:rsidP="002E05E6">
      <w:pPr>
        <w:numPr>
          <w:ilvl w:val="0"/>
          <w:numId w:val="8"/>
        </w:numPr>
        <w:suppressAutoHyphens w:val="0"/>
        <w:spacing w:after="0"/>
        <w:jc w:val="both"/>
        <w:rPr>
          <w:color w:val="2D659A"/>
          <w:sz w:val="20"/>
          <w:szCs w:val="20"/>
          <w:lang w:val="en-GB"/>
        </w:rPr>
      </w:pPr>
      <w:r>
        <w:rPr>
          <w:color w:val="2D659A"/>
          <w:sz w:val="20"/>
          <w:szCs w:val="20"/>
          <w:lang w:val="en-GB"/>
        </w:rPr>
        <w:t>triggered by a client’s settlement instruction,</w:t>
      </w:r>
    </w:p>
    <w:p w14:paraId="59271321" w14:textId="77777777" w:rsidR="002E05E6" w:rsidRDefault="002E05E6" w:rsidP="002E05E6">
      <w:pPr>
        <w:ind w:left="720"/>
        <w:jc w:val="both"/>
        <w:rPr>
          <w:color w:val="2D659A"/>
          <w:sz w:val="20"/>
          <w:szCs w:val="20"/>
          <w:lang w:val="en-GB"/>
        </w:rPr>
      </w:pPr>
    </w:p>
    <w:p w14:paraId="4B15CB07" w14:textId="6D35CA07" w:rsidR="002E05E6" w:rsidRPr="002E05E6" w:rsidRDefault="002E05E6" w:rsidP="002E05E6">
      <w:pPr>
        <w:ind w:left="360" w:hanging="360"/>
        <w:jc w:val="both"/>
        <w:rPr>
          <w:rFonts w:eastAsia="Century Gothic" w:cs="Times New Roman"/>
          <w:color w:val="2D659A"/>
          <w:sz w:val="20"/>
          <w:lang w:val="en-GB"/>
        </w:rPr>
      </w:pPr>
      <w:r w:rsidRPr="002E05E6">
        <w:rPr>
          <w:rFonts w:eastAsia="Century Gothic" w:cs="Times New Roman"/>
          <w:color w:val="2D659A"/>
          <w:sz w:val="20"/>
          <w:lang w:val="en-GB"/>
        </w:rPr>
        <w:t xml:space="preserve">Only if these requirements are fulfilled, a reporting obligation exists. </w:t>
      </w:r>
      <w:r>
        <w:rPr>
          <w:rFonts w:eastAsia="Century Gothic" w:cs="Times New Roman"/>
          <w:color w:val="2D659A"/>
          <w:sz w:val="20"/>
          <w:lang w:val="en-GB"/>
        </w:rPr>
        <w:t>AFTI</w:t>
      </w:r>
      <w:r w:rsidRPr="002E05E6">
        <w:rPr>
          <w:rFonts w:eastAsia="Century Gothic" w:cs="Times New Roman"/>
          <w:color w:val="2D659A"/>
          <w:sz w:val="20"/>
          <w:lang w:val="en-GB"/>
        </w:rPr>
        <w:t xml:space="preserve"> believes that this should be explicitly clarified in the guidelines.</w:t>
      </w:r>
    </w:p>
    <w:p w14:paraId="1E1AB6EB" w14:textId="77777777" w:rsidR="002E05E6" w:rsidRDefault="002E05E6" w:rsidP="002E05E6">
      <w:pPr>
        <w:rPr>
          <w:b/>
          <w:bCs/>
          <w:color w:val="1F497D"/>
          <w:sz w:val="22"/>
          <w:szCs w:val="22"/>
          <w:lang w:val="en-GB"/>
        </w:rPr>
      </w:pPr>
    </w:p>
    <w:p w14:paraId="35B16315" w14:textId="77777777" w:rsidR="002E05E6" w:rsidRPr="00E57599" w:rsidRDefault="002E05E6" w:rsidP="00E57599">
      <w:pPr>
        <w:ind w:left="360" w:hanging="360"/>
        <w:jc w:val="both"/>
        <w:rPr>
          <w:rFonts w:eastAsia="Century Gothic" w:cs="Times New Roman"/>
          <w:color w:val="2D659A"/>
          <w:sz w:val="20"/>
          <w:lang w:val="en-GB"/>
        </w:rPr>
      </w:pPr>
    </w:p>
    <w:p w14:paraId="23F9CBCB" w14:textId="77777777" w:rsidR="00E57599" w:rsidRPr="00C95C01" w:rsidRDefault="00E57599" w:rsidP="00E57599">
      <w:pPr>
        <w:ind w:left="360" w:hanging="360"/>
        <w:jc w:val="both"/>
        <w:rPr>
          <w:rFonts w:eastAsia="Century Gothic" w:cs="Times New Roman"/>
          <w:color w:val="2D659A"/>
          <w:sz w:val="20"/>
          <w:lang w:val="en-GB"/>
        </w:rPr>
      </w:pPr>
    </w:p>
    <w:p w14:paraId="410BEC75" w14:textId="77777777" w:rsidR="00E57599" w:rsidRPr="00C95C01" w:rsidRDefault="00E57599" w:rsidP="00E57599">
      <w:pPr>
        <w:suppressAutoHyphens w:val="0"/>
        <w:spacing w:after="160" w:line="259" w:lineRule="auto"/>
        <w:jc w:val="both"/>
        <w:rPr>
          <w:rFonts w:eastAsia="Century Gothic" w:cs="Times New Roman"/>
          <w:color w:val="2D659A"/>
          <w:sz w:val="20"/>
          <w:lang w:val="en-GB"/>
        </w:rPr>
      </w:pPr>
      <w:r w:rsidRPr="00C95C01">
        <w:rPr>
          <w:rFonts w:eastAsia="Century Gothic" w:cs="Times New Roman"/>
          <w:color w:val="2D659A"/>
          <w:sz w:val="20"/>
          <w:lang w:val="en-GB"/>
        </w:rPr>
        <w:br w:type="page"/>
      </w:r>
    </w:p>
    <w:p w14:paraId="017B29D0"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lastRenderedPageBreak/>
        <w:t xml:space="preserve">Q1: Do you have any comments or suggestions regarding the scope of the data to be reported by settlement </w:t>
      </w:r>
      <w:proofErr w:type="spellStart"/>
      <w:r w:rsidRPr="00C95C01">
        <w:rPr>
          <w:rFonts w:eastAsia="Times New Roman" w:cs="Times New Roman"/>
          <w:b/>
          <w:color w:val="006E95"/>
          <w:sz w:val="16"/>
          <w:u w:color="FFFFFF"/>
        </w:rPr>
        <w:t>internalisers</w:t>
      </w:r>
      <w:proofErr w:type="spellEnd"/>
      <w:r w:rsidRPr="00C95C01">
        <w:rPr>
          <w:rFonts w:eastAsia="Times New Roman" w:cs="Times New Roman"/>
          <w:b/>
          <w:color w:val="006E95"/>
          <w:sz w:val="16"/>
          <w:u w:color="FFFFFF"/>
        </w:rPr>
        <w:t>?</w:t>
      </w:r>
    </w:p>
    <w:p w14:paraId="6CFFB3DA" w14:textId="77777777" w:rsidR="00E57599" w:rsidRPr="00C95C01" w:rsidRDefault="00E57599" w:rsidP="00E57599">
      <w:pPr>
        <w:spacing w:after="0"/>
        <w:jc w:val="both"/>
        <w:rPr>
          <w:rFonts w:eastAsia="Century Gothic" w:cs="Times New Roman"/>
          <w:color w:val="2D659A"/>
          <w:sz w:val="20"/>
          <w:lang w:val="en-GB"/>
        </w:rPr>
      </w:pPr>
      <w:r>
        <w:rPr>
          <w:rFonts w:eastAsia="Century Gothic" w:cs="Times New Roman"/>
          <w:color w:val="2D659A"/>
          <w:sz w:val="20"/>
          <w:lang w:val="en-GB"/>
        </w:rPr>
        <w:t>AFTI</w:t>
      </w:r>
      <w:r w:rsidRPr="00C95C01">
        <w:rPr>
          <w:rFonts w:eastAsia="Century Gothic" w:cs="Times New Roman"/>
          <w:color w:val="2D659A"/>
          <w:sz w:val="20"/>
          <w:lang w:val="en-GB"/>
        </w:rPr>
        <w:t xml:space="preserve"> is in favour of a simple and pragmatic approach which is consistent with the provisions of the CSDR and its level 2. From a technical point of view</w:t>
      </w:r>
      <w:r>
        <w:rPr>
          <w:rFonts w:eastAsia="Century Gothic" w:cs="Times New Roman"/>
          <w:color w:val="2D659A"/>
          <w:sz w:val="20"/>
          <w:lang w:val="en-GB"/>
        </w:rPr>
        <w:t>,</w:t>
      </w:r>
      <w:r w:rsidRPr="00C95C01">
        <w:rPr>
          <w:rFonts w:eastAsia="Century Gothic" w:cs="Times New Roman"/>
          <w:color w:val="2D659A"/>
          <w:sz w:val="20"/>
          <w:lang w:val="en-GB"/>
        </w:rPr>
        <w:t xml:space="preserve"> and in order to </w:t>
      </w:r>
      <w:r>
        <w:rPr>
          <w:rFonts w:eastAsia="Century Gothic" w:cs="Times New Roman"/>
          <w:color w:val="2D659A"/>
          <w:sz w:val="20"/>
          <w:lang w:val="en-GB"/>
        </w:rPr>
        <w:t>minimise changes to</w:t>
      </w:r>
      <w:r w:rsidRPr="00C95C01">
        <w:rPr>
          <w:rFonts w:eastAsia="Century Gothic" w:cs="Times New Roman"/>
          <w:color w:val="2D659A"/>
          <w:sz w:val="20"/>
          <w:lang w:val="en-GB"/>
        </w:rPr>
        <w:t xml:space="preserve"> existing </w:t>
      </w:r>
      <w:r>
        <w:rPr>
          <w:rFonts w:eastAsia="Century Gothic" w:cs="Times New Roman"/>
          <w:color w:val="2D659A"/>
          <w:sz w:val="20"/>
          <w:lang w:val="en-GB"/>
        </w:rPr>
        <w:t xml:space="preserve">processes and </w:t>
      </w:r>
      <w:r w:rsidRPr="00C95C01">
        <w:rPr>
          <w:rFonts w:eastAsia="Century Gothic" w:cs="Times New Roman"/>
          <w:color w:val="2D659A"/>
          <w:sz w:val="20"/>
          <w:lang w:val="en-GB"/>
        </w:rPr>
        <w:t>systems, securities transactions that are settled in the books of an intermediary can best</w:t>
      </w:r>
      <w:r>
        <w:rPr>
          <w:rFonts w:eastAsia="Century Gothic" w:cs="Times New Roman"/>
          <w:color w:val="2D659A"/>
          <w:sz w:val="20"/>
          <w:lang w:val="en-GB"/>
        </w:rPr>
        <w:t xml:space="preserve"> be</w:t>
      </w:r>
      <w:r w:rsidRPr="00C95C01">
        <w:rPr>
          <w:rFonts w:eastAsia="Century Gothic" w:cs="Times New Roman"/>
          <w:color w:val="2D659A"/>
          <w:sz w:val="20"/>
          <w:lang w:val="en-GB"/>
        </w:rPr>
        <w:t xml:space="preserve"> described by movements of securities between securities accounts </w:t>
      </w:r>
      <w:r>
        <w:rPr>
          <w:rFonts w:eastAsia="Century Gothic" w:cs="Times New Roman"/>
          <w:color w:val="2D659A"/>
          <w:sz w:val="20"/>
          <w:lang w:val="en-GB"/>
        </w:rPr>
        <w:t>provided by</w:t>
      </w:r>
      <w:r w:rsidRPr="00C95C01">
        <w:rPr>
          <w:rFonts w:eastAsia="Century Gothic" w:cs="Times New Roman"/>
          <w:color w:val="2D659A"/>
          <w:sz w:val="20"/>
          <w:lang w:val="en-GB"/>
        </w:rPr>
        <w:t xml:space="preserve"> that intermediary.</w:t>
      </w:r>
    </w:p>
    <w:p w14:paraId="28A3A13E" w14:textId="77777777" w:rsidR="00E57599" w:rsidRPr="00C95C01" w:rsidRDefault="00E57599" w:rsidP="00E57599">
      <w:pPr>
        <w:spacing w:after="0"/>
        <w:jc w:val="both"/>
        <w:rPr>
          <w:rFonts w:eastAsia="Century Gothic" w:cs="Times New Roman"/>
          <w:color w:val="2D659A"/>
          <w:sz w:val="20"/>
          <w:lang w:val="en-GB"/>
        </w:rPr>
      </w:pPr>
    </w:p>
    <w:p w14:paraId="286D8DE2" w14:textId="77777777" w:rsidR="00E57599"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 xml:space="preserve">Art. 9 para 1 CSDR sets out that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shall report […] the aggregated volume and value of all securities transactions that they settle </w:t>
      </w:r>
      <w:r w:rsidRPr="00C95C01">
        <w:rPr>
          <w:rFonts w:eastAsia="Century Gothic" w:cs="Times New Roman"/>
          <w:b/>
          <w:color w:val="2D659A"/>
          <w:sz w:val="20"/>
          <w:lang w:val="en-GB"/>
        </w:rPr>
        <w:t>outside securities settlement systems</w:t>
      </w:r>
      <w:r w:rsidRPr="00C95C01">
        <w:rPr>
          <w:rFonts w:eastAsia="Century Gothic" w:cs="Times New Roman"/>
          <w:color w:val="2D659A"/>
          <w:sz w:val="20"/>
          <w:lang w:val="en-GB"/>
        </w:rPr>
        <w:t xml:space="preserve">”. Art. 2 para 1 (11) CSDR defines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as “any institution, including one authorised in accordance with Directive 2013/36/EU or with Directive 2014/65/EU, which executes transfer orders on behalf of clients or on its own account other than through a securities settlement system”. </w:t>
      </w:r>
    </w:p>
    <w:p w14:paraId="0DE8E016" w14:textId="77777777" w:rsidR="00E57599" w:rsidRPr="00C95C01" w:rsidRDefault="00E57599" w:rsidP="00E57599">
      <w:pPr>
        <w:spacing w:after="0"/>
        <w:jc w:val="both"/>
        <w:rPr>
          <w:rFonts w:eastAsia="Century Gothic" w:cs="Times New Roman"/>
          <w:color w:val="2D659A"/>
          <w:sz w:val="20"/>
          <w:lang w:val="en-GB"/>
        </w:rPr>
      </w:pPr>
    </w:p>
    <w:p w14:paraId="39E95C52" w14:textId="77777777" w:rsidR="00E57599"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Art. 2 para 1 (10) CSDR defines that ‘securities settlement system’ means “a system under the first, second and third indents of point (a) of Article 2 of Directive 98/26/EC that is not operated by a central counterparty whose activity consists of the execution of transfer orders”. Pursuant to Art. 2 para 1 (9) CSDR a ‘transfer order’ means “transfer order as defined in the second indent of point (</w:t>
      </w:r>
      <w:proofErr w:type="spellStart"/>
      <w:r w:rsidRPr="00C95C01">
        <w:rPr>
          <w:rFonts w:eastAsia="Century Gothic" w:cs="Times New Roman"/>
          <w:color w:val="2D659A"/>
          <w:sz w:val="20"/>
          <w:lang w:val="en-GB"/>
        </w:rPr>
        <w:t>i</w:t>
      </w:r>
      <w:proofErr w:type="spellEnd"/>
      <w:r w:rsidRPr="00C95C01">
        <w:rPr>
          <w:rFonts w:eastAsia="Century Gothic" w:cs="Times New Roman"/>
          <w:color w:val="2D659A"/>
          <w:sz w:val="20"/>
          <w:lang w:val="en-GB"/>
        </w:rPr>
        <w:t xml:space="preserve">) of Article 2 of Directive 98/26/EC”. </w:t>
      </w:r>
    </w:p>
    <w:p w14:paraId="488795B2" w14:textId="77777777" w:rsidR="00E57599" w:rsidRPr="00C95C01" w:rsidRDefault="00E57599" w:rsidP="00E57599">
      <w:pPr>
        <w:spacing w:after="0"/>
        <w:jc w:val="both"/>
        <w:rPr>
          <w:rFonts w:eastAsia="Century Gothic" w:cs="Times New Roman"/>
          <w:color w:val="2D659A"/>
          <w:sz w:val="20"/>
          <w:lang w:val="en-GB"/>
        </w:rPr>
      </w:pPr>
    </w:p>
    <w:p w14:paraId="1486BAB0"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 xml:space="preserve">Recital 2 of Regulation (EU) 2017/391 states that a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should only report internalised settlements where it has executed a </w:t>
      </w:r>
      <w:r w:rsidRPr="00C95C01">
        <w:rPr>
          <w:rFonts w:eastAsia="Century Gothic" w:cs="Times New Roman"/>
          <w:b/>
          <w:color w:val="2D659A"/>
          <w:sz w:val="20"/>
          <w:lang w:val="en-GB"/>
        </w:rPr>
        <w:t>settlement instruction by a client</w:t>
      </w:r>
      <w:r w:rsidRPr="00C95C01">
        <w:rPr>
          <w:rFonts w:eastAsia="Century Gothic" w:cs="Times New Roman"/>
          <w:color w:val="2D659A"/>
          <w:sz w:val="20"/>
          <w:lang w:val="en-GB"/>
        </w:rPr>
        <w:t xml:space="preserve"> of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w:t>
      </w:r>
      <w:r w:rsidRPr="00C95C01">
        <w:rPr>
          <w:rFonts w:eastAsia="Century Gothic" w:cs="Times New Roman"/>
          <w:b/>
          <w:color w:val="2D659A"/>
          <w:sz w:val="20"/>
          <w:lang w:val="en-GB"/>
        </w:rPr>
        <w:t>in its own books</w:t>
      </w:r>
      <w:r w:rsidRPr="00C95C01">
        <w:rPr>
          <w:rFonts w:eastAsia="Century Gothic" w:cs="Times New Roman"/>
          <w:color w:val="2D659A"/>
          <w:sz w:val="20"/>
          <w:lang w:val="en-GB"/>
        </w:rPr>
        <w:t xml:space="preserve">. A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should </w:t>
      </w:r>
      <w:r w:rsidRPr="00C95C01">
        <w:rPr>
          <w:rFonts w:eastAsia="Century Gothic" w:cs="Times New Roman"/>
          <w:b/>
          <w:color w:val="2D659A"/>
          <w:sz w:val="20"/>
          <w:lang w:val="en-GB"/>
        </w:rPr>
        <w:t>not report subsequent alignments</w:t>
      </w:r>
      <w:r w:rsidRPr="00C95C01">
        <w:rPr>
          <w:rFonts w:eastAsia="Century Gothic" w:cs="Times New Roman"/>
          <w:color w:val="2D659A"/>
          <w:sz w:val="20"/>
          <w:lang w:val="en-GB"/>
        </w:rPr>
        <w:t xml:space="preserve"> of book-entry positions to reflect the settlement of instructions by other entities in the holding chain of securities, as these do not qualify as internalised settlement. Similarly, a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should not report transactions executed on a trading venue and transferred by the trading venue to a central counterparty (CCP) for clearing or to a CSD for settlement.</w:t>
      </w:r>
    </w:p>
    <w:p w14:paraId="0FB4B06E"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 xml:space="preserve">Furthermore, Art. 1 para 1 of Regulation (EU) 2017/391 defines that ‘internalised settlement instruction’ means “an </w:t>
      </w:r>
      <w:r w:rsidRPr="00C95C01">
        <w:rPr>
          <w:rFonts w:eastAsia="Century Gothic" w:cs="Times New Roman"/>
          <w:b/>
          <w:color w:val="2D659A"/>
          <w:sz w:val="20"/>
          <w:lang w:val="en-GB"/>
        </w:rPr>
        <w:t>instruction by a client</w:t>
      </w:r>
      <w:r w:rsidRPr="00C95C01">
        <w:rPr>
          <w:rFonts w:eastAsia="Century Gothic" w:cs="Times New Roman"/>
          <w:color w:val="2D659A"/>
          <w:sz w:val="20"/>
          <w:lang w:val="en-GB"/>
        </w:rPr>
        <w:t xml:space="preserve"> of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to place at the disposal of the recipient an amount of money or to transfer the title to, or interest in, a security or securities by means of a book entry on a register, or otherwise, which is settled by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w:t>
      </w:r>
      <w:r w:rsidRPr="00C95C01">
        <w:rPr>
          <w:rFonts w:eastAsia="Century Gothic" w:cs="Times New Roman"/>
          <w:b/>
          <w:color w:val="2D659A"/>
          <w:sz w:val="20"/>
          <w:lang w:val="en-GB"/>
        </w:rPr>
        <w:t>in its own books</w:t>
      </w:r>
      <w:r w:rsidRPr="00C95C01">
        <w:rPr>
          <w:rFonts w:eastAsia="Century Gothic" w:cs="Times New Roman"/>
          <w:color w:val="2D659A"/>
          <w:sz w:val="20"/>
          <w:lang w:val="en-GB"/>
        </w:rPr>
        <w:t xml:space="preserve"> and not through a securities settlement system”.</w:t>
      </w:r>
    </w:p>
    <w:p w14:paraId="21E1322C" w14:textId="77777777" w:rsidR="00E57599" w:rsidRPr="00C95C01" w:rsidRDefault="00E57599" w:rsidP="00E57599">
      <w:pPr>
        <w:spacing w:after="0"/>
        <w:jc w:val="both"/>
        <w:rPr>
          <w:rFonts w:eastAsia="Century Gothic" w:cs="Times New Roman"/>
          <w:color w:val="2D659A"/>
          <w:sz w:val="20"/>
          <w:lang w:val="en-GB"/>
        </w:rPr>
      </w:pPr>
    </w:p>
    <w:p w14:paraId="574E7D07" w14:textId="77777777" w:rsidR="00E57599" w:rsidRPr="00980E45" w:rsidRDefault="00E57599" w:rsidP="00E57599">
      <w:pPr>
        <w:spacing w:after="0"/>
        <w:jc w:val="both"/>
        <w:rPr>
          <w:rFonts w:eastAsia="Century Gothic" w:cs="Times New Roman"/>
          <w:color w:val="2D659A"/>
          <w:sz w:val="20"/>
          <w:lang w:val="en-GB"/>
        </w:rPr>
      </w:pPr>
      <w:r w:rsidRPr="00980E45">
        <w:rPr>
          <w:rFonts w:eastAsia="Century Gothic" w:cs="Times New Roman"/>
          <w:color w:val="2D659A"/>
          <w:sz w:val="20"/>
          <w:lang w:val="en-GB"/>
        </w:rPr>
        <w:t xml:space="preserve">Consequently, wherever </w:t>
      </w:r>
    </w:p>
    <w:p w14:paraId="791F5479" w14:textId="77777777" w:rsidR="00E57599" w:rsidRPr="00980E45" w:rsidRDefault="00E57599" w:rsidP="00E57599">
      <w:pPr>
        <w:spacing w:after="0"/>
        <w:jc w:val="both"/>
        <w:rPr>
          <w:rFonts w:eastAsia="Century Gothic" w:cs="Times New Roman"/>
          <w:color w:val="2D659A"/>
          <w:sz w:val="20"/>
          <w:lang w:val="en-GB"/>
        </w:rPr>
      </w:pPr>
    </w:p>
    <w:p w14:paraId="41F8AB7B" w14:textId="77777777" w:rsidR="00E57599" w:rsidRPr="00980E45" w:rsidRDefault="00E57599" w:rsidP="00E57599">
      <w:pPr>
        <w:numPr>
          <w:ilvl w:val="0"/>
          <w:numId w:val="5"/>
        </w:numPr>
        <w:spacing w:after="0"/>
        <w:contextualSpacing/>
        <w:jc w:val="both"/>
        <w:rPr>
          <w:rFonts w:eastAsia="Century Gothic" w:cs="Times New Roman"/>
          <w:color w:val="2D659A"/>
          <w:sz w:val="20"/>
          <w:lang w:val="en-GB"/>
        </w:rPr>
      </w:pPr>
      <w:r w:rsidRPr="00980E45">
        <w:rPr>
          <w:rFonts w:eastAsia="Century Gothic" w:cs="Times New Roman"/>
          <w:color w:val="2D659A"/>
          <w:sz w:val="20"/>
          <w:lang w:val="en-GB"/>
        </w:rPr>
        <w:t>irrespective of the underlying legal cause, a movement of securities between securities accounts takes place in the books of an intermediary,</w:t>
      </w:r>
    </w:p>
    <w:p w14:paraId="7BD75B88" w14:textId="77777777" w:rsidR="00E57599" w:rsidRPr="00980E45" w:rsidRDefault="00E57599" w:rsidP="00E57599">
      <w:pPr>
        <w:numPr>
          <w:ilvl w:val="0"/>
          <w:numId w:val="5"/>
        </w:numPr>
        <w:spacing w:after="0"/>
        <w:contextualSpacing/>
        <w:jc w:val="both"/>
        <w:rPr>
          <w:rFonts w:eastAsia="Century Gothic" w:cs="Times New Roman"/>
          <w:color w:val="2D659A"/>
          <w:sz w:val="20"/>
          <w:lang w:val="en-GB"/>
        </w:rPr>
      </w:pPr>
      <w:r w:rsidRPr="00980E45">
        <w:rPr>
          <w:rFonts w:eastAsia="Century Gothic" w:cs="Times New Roman"/>
          <w:color w:val="2D659A"/>
          <w:sz w:val="20"/>
          <w:lang w:val="en-GB"/>
        </w:rPr>
        <w:t xml:space="preserve">such movement would have taken place in an EU-CSD but instead only takes place in the books of the intermediary without any external parallel movement along the custody chain and, </w:t>
      </w:r>
    </w:p>
    <w:p w14:paraId="0FDF660C" w14:textId="77777777" w:rsidR="00E57599" w:rsidRPr="00980E45" w:rsidRDefault="00E57599" w:rsidP="00E57599">
      <w:pPr>
        <w:numPr>
          <w:ilvl w:val="0"/>
          <w:numId w:val="5"/>
        </w:numPr>
        <w:spacing w:after="0"/>
        <w:contextualSpacing/>
        <w:jc w:val="both"/>
        <w:rPr>
          <w:rFonts w:eastAsia="Century Gothic" w:cs="Times New Roman"/>
          <w:color w:val="2D659A"/>
          <w:sz w:val="20"/>
          <w:lang w:val="en-GB"/>
        </w:rPr>
      </w:pPr>
      <w:proofErr w:type="gramStart"/>
      <w:r w:rsidRPr="00980E45">
        <w:rPr>
          <w:rFonts w:eastAsia="Century Gothic" w:cs="Times New Roman"/>
          <w:color w:val="2D659A"/>
          <w:sz w:val="20"/>
          <w:lang w:val="en-GB"/>
        </w:rPr>
        <w:t>triggered</w:t>
      </w:r>
      <w:proofErr w:type="gramEnd"/>
      <w:r w:rsidRPr="00980E45">
        <w:rPr>
          <w:rFonts w:eastAsia="Century Gothic" w:cs="Times New Roman"/>
          <w:color w:val="2D659A"/>
          <w:sz w:val="20"/>
          <w:lang w:val="en-GB"/>
        </w:rPr>
        <w:t xml:space="preserve"> by a client’s settlement instruction, such movements are in scope and all other movements are out of scope of the reporting obligation as a matter of principle. </w:t>
      </w:r>
    </w:p>
    <w:p w14:paraId="085A94BB" w14:textId="77777777" w:rsidR="00E57599" w:rsidRPr="00C95C01" w:rsidRDefault="00E57599" w:rsidP="00E57599">
      <w:pPr>
        <w:spacing w:after="0"/>
        <w:jc w:val="both"/>
        <w:rPr>
          <w:rFonts w:eastAsia="Century Gothic" w:cs="Times New Roman"/>
          <w:color w:val="2D659A"/>
          <w:sz w:val="20"/>
          <w:lang w:val="en-GB"/>
        </w:rPr>
      </w:pPr>
    </w:p>
    <w:p w14:paraId="16089085"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It would be very helpful if this principle could be set out in the final ESMA guidelines before examples are given for clarification like in par. 11 and 12 of the draft guidelines.</w:t>
      </w:r>
    </w:p>
    <w:p w14:paraId="619CF5D6" w14:textId="77777777" w:rsidR="00E57599" w:rsidRDefault="00E57599" w:rsidP="00E57599">
      <w:pPr>
        <w:spacing w:after="0"/>
        <w:jc w:val="both"/>
        <w:rPr>
          <w:rFonts w:eastAsia="Century Gothic" w:cs="Times New Roman"/>
          <w:color w:val="2D659A"/>
          <w:sz w:val="20"/>
          <w:lang w:val="en-GB"/>
        </w:rPr>
      </w:pPr>
    </w:p>
    <w:p w14:paraId="5D90036F" w14:textId="77777777" w:rsidR="00E57599" w:rsidRDefault="00E57599" w:rsidP="00E57599">
      <w:pPr>
        <w:spacing w:after="0"/>
        <w:jc w:val="both"/>
        <w:rPr>
          <w:rFonts w:eastAsia="Century Gothic" w:cs="Times New Roman"/>
          <w:color w:val="2D659A"/>
          <w:sz w:val="20"/>
          <w:lang w:val="en-GB"/>
        </w:rPr>
      </w:pPr>
      <w:r>
        <w:rPr>
          <w:rFonts w:eastAsia="Century Gothic" w:cs="Times New Roman"/>
          <w:color w:val="2D659A"/>
          <w:sz w:val="20"/>
          <w:lang w:val="en-GB"/>
        </w:rPr>
        <w:t xml:space="preserve">Moreover AFTI sees some relevant issues </w:t>
      </w:r>
    </w:p>
    <w:p w14:paraId="78E09A5A" w14:textId="77777777" w:rsidR="00E57599" w:rsidRDefault="00E57599" w:rsidP="00E57599">
      <w:pPr>
        <w:spacing w:after="0"/>
        <w:jc w:val="both"/>
        <w:rPr>
          <w:rFonts w:eastAsia="Century Gothic" w:cs="Times New Roman"/>
          <w:color w:val="2D659A"/>
          <w:sz w:val="20"/>
          <w:lang w:val="en-GB"/>
        </w:rPr>
      </w:pPr>
    </w:p>
    <w:p w14:paraId="5B8E7783" w14:textId="77777777" w:rsidR="00E57599" w:rsidRPr="00D4181A" w:rsidRDefault="00E57599" w:rsidP="00E57599">
      <w:pPr>
        <w:spacing w:after="0"/>
        <w:jc w:val="both"/>
        <w:rPr>
          <w:rFonts w:eastAsia="Century Gothic" w:cs="Times New Roman"/>
          <w:b/>
          <w:color w:val="2D659A"/>
          <w:sz w:val="20"/>
          <w:lang w:val="en-GB"/>
        </w:rPr>
      </w:pPr>
      <w:r>
        <w:rPr>
          <w:rFonts w:eastAsia="Century Gothic" w:cs="Times New Roman"/>
          <w:b/>
          <w:color w:val="2D659A"/>
          <w:sz w:val="20"/>
          <w:lang w:val="en-GB"/>
        </w:rPr>
        <w:t>Additional Detailed Issues and Commentary</w:t>
      </w:r>
    </w:p>
    <w:p w14:paraId="038BD082" w14:textId="77777777" w:rsidR="00E57599" w:rsidRDefault="00E57599" w:rsidP="00E57599">
      <w:pPr>
        <w:spacing w:after="0"/>
        <w:jc w:val="both"/>
        <w:rPr>
          <w:rFonts w:eastAsia="Century Gothic" w:cs="Times New Roman"/>
          <w:color w:val="2D659A"/>
          <w:sz w:val="20"/>
          <w:lang w:val="en-GB"/>
        </w:rPr>
      </w:pPr>
    </w:p>
    <w:p w14:paraId="25CABEA1"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Please refer to the following remarks for further details</w:t>
      </w:r>
      <w:r>
        <w:rPr>
          <w:rFonts w:eastAsia="Century Gothic" w:cs="Times New Roman"/>
          <w:color w:val="2D659A"/>
          <w:sz w:val="20"/>
          <w:lang w:val="en-GB"/>
        </w:rPr>
        <w:t xml:space="preserve"> and additional technical points</w:t>
      </w:r>
      <w:r w:rsidRPr="00C95C01">
        <w:rPr>
          <w:rFonts w:eastAsia="Century Gothic" w:cs="Times New Roman"/>
          <w:color w:val="2D659A"/>
          <w:sz w:val="20"/>
          <w:lang w:val="en-GB"/>
        </w:rPr>
        <w:t>.</w:t>
      </w:r>
    </w:p>
    <w:p w14:paraId="6DFFF130" w14:textId="77777777" w:rsidR="00E57599" w:rsidRDefault="00E57599" w:rsidP="00E57599">
      <w:pPr>
        <w:spacing w:after="0"/>
        <w:jc w:val="both"/>
        <w:rPr>
          <w:rFonts w:eastAsia="Century Gothic" w:cs="Times New Roman"/>
          <w:color w:val="2D659A"/>
          <w:sz w:val="20"/>
        </w:rPr>
      </w:pPr>
    </w:p>
    <w:p w14:paraId="0ED4C251" w14:textId="77777777" w:rsidR="00E57599" w:rsidRPr="00C95C01" w:rsidRDefault="00E57599" w:rsidP="00E57599">
      <w:pPr>
        <w:spacing w:after="0"/>
        <w:jc w:val="both"/>
        <w:rPr>
          <w:rFonts w:eastAsia="Century Gothic" w:cs="Times New Roman"/>
          <w:color w:val="2D659A"/>
          <w:sz w:val="20"/>
        </w:rPr>
      </w:pPr>
      <w:r>
        <w:rPr>
          <w:rFonts w:eastAsia="Century Gothic" w:cs="Times New Roman"/>
          <w:color w:val="2D659A"/>
          <w:sz w:val="20"/>
        </w:rPr>
        <w:lastRenderedPageBreak/>
        <w:t>AFTI</w:t>
      </w:r>
      <w:r w:rsidRPr="00C95C01">
        <w:rPr>
          <w:rFonts w:eastAsia="Century Gothic" w:cs="Times New Roman"/>
          <w:color w:val="2D659A"/>
          <w:sz w:val="20"/>
        </w:rPr>
        <w:t xml:space="preserve"> fully supports ESMA’s objective to have a comprehensive approach on the scope of the reporting obligation of Art. 9 CSDR and of the data to be reported under such obligation, as to detect early on the emergence of shadow market activity. However, in order to be consistent with the provisions of the CSDR and its Level 2 measures, </w:t>
      </w:r>
      <w:r>
        <w:rPr>
          <w:rFonts w:eastAsia="Century Gothic" w:cs="Times New Roman"/>
          <w:color w:val="2D659A"/>
          <w:sz w:val="20"/>
        </w:rPr>
        <w:t>AFTI</w:t>
      </w:r>
      <w:r w:rsidRPr="00C95C01">
        <w:rPr>
          <w:rFonts w:eastAsia="Century Gothic" w:cs="Times New Roman"/>
          <w:color w:val="2D659A"/>
          <w:sz w:val="20"/>
        </w:rPr>
        <w:t xml:space="preserve"> would like to suggest shortening the list (as per the below table). This would also limit the administrative burden on the market participants (particularly as these are not items that could pose a risk to market stability).</w:t>
      </w:r>
    </w:p>
    <w:p w14:paraId="132F44EB" w14:textId="77777777" w:rsidR="00E57599" w:rsidRPr="00C95C01" w:rsidRDefault="00E57599" w:rsidP="00E57599">
      <w:pPr>
        <w:jc w:val="both"/>
        <w:rPr>
          <w:rFonts w:eastAsia="Century Gothic" w:cs="Times New Roman"/>
          <w:color w:val="2D659A"/>
          <w:sz w:val="20"/>
        </w:rPr>
      </w:pPr>
    </w:p>
    <w:tbl>
      <w:tblPr>
        <w:tblStyle w:val="TableGrid1"/>
        <w:tblW w:w="0" w:type="auto"/>
        <w:tblLook w:val="04A0" w:firstRow="1" w:lastRow="0" w:firstColumn="1" w:lastColumn="0" w:noHBand="0" w:noVBand="1"/>
      </w:tblPr>
      <w:tblGrid>
        <w:gridCol w:w="3746"/>
        <w:gridCol w:w="5270"/>
      </w:tblGrid>
      <w:tr w:rsidR="00E57599" w:rsidRPr="00C95C01" w14:paraId="200127AC" w14:textId="77777777" w:rsidTr="009F653F">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A0A0A0"/>
            <w:vAlign w:val="center"/>
          </w:tcPr>
          <w:p w14:paraId="17739449"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Transactions and operations IN scope</w:t>
            </w:r>
          </w:p>
          <w:p w14:paraId="480C6EBD"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Para. 11 of the draft guidelines</w:t>
            </w:r>
          </w:p>
        </w:tc>
      </w:tr>
      <w:tr w:rsidR="00E57599" w:rsidRPr="00C95C01" w14:paraId="2C388618"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shd w:val="clear" w:color="auto" w:fill="A0A0A0"/>
            <w:vAlign w:val="center"/>
          </w:tcPr>
          <w:p w14:paraId="675BB13F"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ESMA</w:t>
            </w:r>
          </w:p>
        </w:tc>
        <w:tc>
          <w:tcPr>
            <w:tcW w:w="5270" w:type="dxa"/>
            <w:shd w:val="clear" w:color="auto" w:fill="A0A0A0"/>
            <w:vAlign w:val="center"/>
          </w:tcPr>
          <w:p w14:paraId="43ABADD4" w14:textId="77777777" w:rsidR="00E57599" w:rsidRPr="00C95C01" w:rsidRDefault="00E57599" w:rsidP="009F653F">
            <w:pPr>
              <w:jc w:val="center"/>
              <w:rPr>
                <w:rFonts w:eastAsia="Century Gothic" w:cs="Times New Roman"/>
                <w:b/>
                <w:color w:val="2D659A"/>
                <w:sz w:val="20"/>
              </w:rPr>
            </w:pPr>
            <w:r>
              <w:rPr>
                <w:rFonts w:eastAsia="Century Gothic" w:cs="Times New Roman"/>
                <w:b/>
                <w:color w:val="2D659A"/>
                <w:sz w:val="20"/>
              </w:rPr>
              <w:t>AFTI</w:t>
            </w:r>
          </w:p>
        </w:tc>
      </w:tr>
      <w:tr w:rsidR="00E57599" w:rsidRPr="00C95C01" w14:paraId="510F3167" w14:textId="77777777" w:rsidTr="009F653F">
        <w:tc>
          <w:tcPr>
            <w:tcW w:w="3746" w:type="dxa"/>
          </w:tcPr>
          <w:p w14:paraId="0F7D05A9"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 purchase or sale of securities (including primary market purchases or sales of securities); </w:t>
            </w:r>
          </w:p>
        </w:tc>
        <w:tc>
          <w:tcPr>
            <w:tcW w:w="5270" w:type="dxa"/>
          </w:tcPr>
          <w:p w14:paraId="4A4EEE0C" w14:textId="77777777" w:rsidR="00E57599" w:rsidRPr="00C95C01" w:rsidRDefault="00E57599" w:rsidP="009F653F">
            <w:pPr>
              <w:spacing w:after="0"/>
              <w:contextualSpacing/>
              <w:jc w:val="both"/>
              <w:rPr>
                <w:rFonts w:eastAsia="Century Gothic" w:cs="Times New Roman"/>
                <w:color w:val="2D659A"/>
                <w:sz w:val="20"/>
              </w:rPr>
            </w:pPr>
            <w:r>
              <w:rPr>
                <w:rFonts w:eastAsia="Century Gothic" w:cs="Times New Roman"/>
                <w:color w:val="2D659A"/>
                <w:sz w:val="20"/>
              </w:rPr>
              <w:t xml:space="preserve">Agreed. </w:t>
            </w:r>
          </w:p>
        </w:tc>
      </w:tr>
      <w:tr w:rsidR="00E57599" w:rsidRPr="00C95C01" w14:paraId="30FC0F8A"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4EE71D99"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b) collateral management operations (including triparty collateral management operations or auto-</w:t>
            </w:r>
            <w:proofErr w:type="spellStart"/>
            <w:r w:rsidRPr="00C95C01">
              <w:rPr>
                <w:rFonts w:eastAsia="Century Gothic" w:cs="Times New Roman"/>
                <w:color w:val="2D659A"/>
                <w:sz w:val="20"/>
              </w:rPr>
              <w:t>collateralisation</w:t>
            </w:r>
            <w:proofErr w:type="spellEnd"/>
            <w:r w:rsidRPr="00C95C01">
              <w:rPr>
                <w:rFonts w:eastAsia="Century Gothic" w:cs="Times New Roman"/>
                <w:color w:val="2D659A"/>
                <w:sz w:val="20"/>
              </w:rPr>
              <w:t xml:space="preserve"> operations); *</w:t>
            </w:r>
          </w:p>
          <w:p w14:paraId="136766FA" w14:textId="77777777" w:rsidR="00E57599" w:rsidRPr="00C95C01" w:rsidRDefault="00E57599" w:rsidP="009F653F">
            <w:pPr>
              <w:jc w:val="both"/>
              <w:rPr>
                <w:rFonts w:eastAsia="Century Gothic" w:cs="Times New Roman"/>
                <w:color w:val="2D659A"/>
                <w:sz w:val="20"/>
              </w:rPr>
            </w:pPr>
          </w:p>
        </w:tc>
        <w:tc>
          <w:tcPr>
            <w:tcW w:w="5270" w:type="dxa"/>
          </w:tcPr>
          <w:p w14:paraId="00E649FC"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Agreed as long as </w:t>
            </w:r>
          </w:p>
          <w:p w14:paraId="1DB0EEC3"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Movement from one account to another, </w:t>
            </w:r>
          </w:p>
          <w:p w14:paraId="27C47ABF"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No parallel movement higher up the custody chain occurs and </w:t>
            </w:r>
          </w:p>
          <w:p w14:paraId="37A5B071" w14:textId="77777777" w:rsidR="00E57599"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In execution of a settlement instruction by a client.</w:t>
            </w:r>
          </w:p>
          <w:p w14:paraId="6A6E9FF9" w14:textId="77777777" w:rsidR="00E57599" w:rsidRPr="00D4181A" w:rsidRDefault="00E57599" w:rsidP="009F653F">
            <w:pPr>
              <w:contextualSpacing/>
              <w:jc w:val="both"/>
              <w:rPr>
                <w:rFonts w:asciiTheme="minorHAnsi" w:hAnsiTheme="minorHAnsi"/>
                <w:color w:val="FF0000"/>
                <w:sz w:val="20"/>
                <w:szCs w:val="20"/>
              </w:rPr>
            </w:pPr>
            <w:r w:rsidRPr="00D4181A">
              <w:rPr>
                <w:rFonts w:eastAsia="Century Gothic" w:cs="Times New Roman"/>
                <w:color w:val="2D659A"/>
                <w:sz w:val="20"/>
              </w:rPr>
              <w:t>It should, however, be noted that some collateral management activities generate high volumes of intra-day movements, which raises the question of whether the reporting of gross intra-day movements is useful.</w:t>
            </w:r>
          </w:p>
        </w:tc>
      </w:tr>
      <w:tr w:rsidR="00E57599" w:rsidRPr="00C95C01" w14:paraId="6DD0CA7F" w14:textId="77777777" w:rsidTr="009F653F">
        <w:tc>
          <w:tcPr>
            <w:tcW w:w="3746" w:type="dxa"/>
          </w:tcPr>
          <w:p w14:paraId="50ECF32E"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c) securities lending or securities borrowing; </w:t>
            </w:r>
          </w:p>
        </w:tc>
        <w:tc>
          <w:tcPr>
            <w:tcW w:w="5270" w:type="dxa"/>
          </w:tcPr>
          <w:p w14:paraId="2D3A0195"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Agreed as long as </w:t>
            </w:r>
          </w:p>
          <w:p w14:paraId="255B6AC0"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Movement from one account to another, </w:t>
            </w:r>
          </w:p>
          <w:p w14:paraId="3F1B1560"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No parallel movement higher up the custody chain occurs and,</w:t>
            </w:r>
          </w:p>
          <w:p w14:paraId="0D0FE49C" w14:textId="77777777" w:rsidR="00E57599"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In execution of a settlement instruction by a client.</w:t>
            </w:r>
          </w:p>
          <w:p w14:paraId="35C1FB41" w14:textId="77777777" w:rsidR="00E57599" w:rsidRPr="00C95C01" w:rsidRDefault="00E57599" w:rsidP="009F653F">
            <w:pPr>
              <w:ind w:left="360"/>
              <w:contextualSpacing/>
              <w:jc w:val="both"/>
              <w:rPr>
                <w:rFonts w:eastAsia="Century Gothic" w:cs="Times New Roman"/>
                <w:color w:val="2D659A"/>
                <w:sz w:val="20"/>
              </w:rPr>
            </w:pPr>
          </w:p>
        </w:tc>
      </w:tr>
      <w:tr w:rsidR="00E57599" w:rsidRPr="00C95C01" w14:paraId="733D9223"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7DF55AD3"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d) repurchase transactions; </w:t>
            </w:r>
          </w:p>
        </w:tc>
        <w:tc>
          <w:tcPr>
            <w:tcW w:w="5270" w:type="dxa"/>
          </w:tcPr>
          <w:p w14:paraId="48AA580C"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Agreed as long as </w:t>
            </w:r>
          </w:p>
          <w:p w14:paraId="4A00A6E4"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movement from one account to another, </w:t>
            </w:r>
          </w:p>
          <w:p w14:paraId="160F4D33"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no parallel movement higher up the custody chain occurs and,</w:t>
            </w:r>
          </w:p>
          <w:p w14:paraId="6411653B" w14:textId="77777777" w:rsidR="00E57599" w:rsidRDefault="00E57599" w:rsidP="00E57599">
            <w:pPr>
              <w:numPr>
                <w:ilvl w:val="0"/>
                <w:numId w:val="2"/>
              </w:numPr>
              <w:contextualSpacing/>
              <w:jc w:val="both"/>
              <w:rPr>
                <w:rFonts w:eastAsia="Century Gothic" w:cs="Times New Roman"/>
                <w:color w:val="2D659A"/>
                <w:sz w:val="20"/>
              </w:rPr>
            </w:pPr>
            <w:proofErr w:type="gramStart"/>
            <w:r w:rsidRPr="00C95C01">
              <w:rPr>
                <w:rFonts w:eastAsia="Century Gothic" w:cs="Times New Roman"/>
                <w:color w:val="2D659A"/>
                <w:sz w:val="20"/>
              </w:rPr>
              <w:t>in</w:t>
            </w:r>
            <w:proofErr w:type="gramEnd"/>
            <w:r w:rsidRPr="00C95C01">
              <w:rPr>
                <w:rFonts w:eastAsia="Century Gothic" w:cs="Times New Roman"/>
                <w:color w:val="2D659A"/>
                <w:sz w:val="20"/>
              </w:rPr>
              <w:t xml:space="preserve"> execution of a settlement instruction by a client.</w:t>
            </w:r>
          </w:p>
          <w:p w14:paraId="0A65821F" w14:textId="77777777" w:rsidR="00E57599" w:rsidRPr="00C95C01" w:rsidRDefault="00E57599" w:rsidP="009F653F">
            <w:pPr>
              <w:ind w:left="360"/>
              <w:contextualSpacing/>
              <w:jc w:val="both"/>
              <w:rPr>
                <w:rFonts w:eastAsia="Century Gothic" w:cs="Times New Roman"/>
                <w:color w:val="2D659A"/>
                <w:sz w:val="20"/>
              </w:rPr>
            </w:pPr>
          </w:p>
        </w:tc>
      </w:tr>
      <w:tr w:rsidR="00E57599" w:rsidRPr="00C95C01" w14:paraId="6310C6DA" w14:textId="77777777" w:rsidTr="009F653F">
        <w:tc>
          <w:tcPr>
            <w:tcW w:w="3746" w:type="dxa"/>
          </w:tcPr>
          <w:p w14:paraId="1C1C2F5E"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e) transactions subject to netting as defined in point (k) of Article 2 of Directive 98/26/EC7 at the level of the settlement </w:t>
            </w:r>
            <w:proofErr w:type="spellStart"/>
            <w:r w:rsidRPr="00C95C01">
              <w:rPr>
                <w:rFonts w:eastAsia="Century Gothic" w:cs="Times New Roman"/>
                <w:color w:val="2D659A"/>
                <w:sz w:val="20"/>
              </w:rPr>
              <w:t>internaliser</w:t>
            </w:r>
            <w:proofErr w:type="spellEnd"/>
            <w:r w:rsidRPr="00C95C01">
              <w:rPr>
                <w:rFonts w:eastAsia="Century Gothic" w:cs="Times New Roman"/>
                <w:color w:val="2D659A"/>
                <w:sz w:val="20"/>
              </w:rPr>
              <w:t xml:space="preserve">; </w:t>
            </w:r>
          </w:p>
        </w:tc>
        <w:tc>
          <w:tcPr>
            <w:tcW w:w="5270" w:type="dxa"/>
          </w:tcPr>
          <w:p w14:paraId="0051FD4C" w14:textId="5D883994" w:rsidR="00E57599" w:rsidRPr="00C95C01" w:rsidRDefault="00E57599" w:rsidP="009F653F">
            <w:pPr>
              <w:spacing w:after="0"/>
              <w:jc w:val="both"/>
              <w:rPr>
                <w:rFonts w:eastAsia="Century Gothic" w:cs="Times New Roman"/>
                <w:color w:val="2D659A"/>
                <w:sz w:val="20"/>
              </w:rPr>
            </w:pPr>
            <w:r>
              <w:rPr>
                <w:rFonts w:eastAsia="Century Gothic" w:cs="Times New Roman"/>
                <w:color w:val="2D659A"/>
                <w:sz w:val="20"/>
              </w:rPr>
              <w:t>AFTI</w:t>
            </w:r>
            <w:r w:rsidRPr="00C95C01">
              <w:rPr>
                <w:rFonts w:eastAsia="Century Gothic" w:cs="Times New Roman"/>
                <w:color w:val="2D659A"/>
                <w:sz w:val="20"/>
                <w:lang w:val="en-GB"/>
              </w:rPr>
              <w:t xml:space="preserve"> </w:t>
            </w:r>
            <w:r w:rsidRPr="00C95C01">
              <w:rPr>
                <w:rFonts w:eastAsia="Century Gothic" w:cs="Times New Roman"/>
                <w:color w:val="2D659A"/>
                <w:sz w:val="20"/>
              </w:rPr>
              <w:t xml:space="preserve">warmly </w:t>
            </w:r>
            <w:r w:rsidRPr="00C95C01">
              <w:rPr>
                <w:rFonts w:eastAsia="Century Gothic" w:cs="Times New Roman"/>
                <w:color w:val="2D659A"/>
                <w:sz w:val="20"/>
                <w:lang w:val="en-GB"/>
              </w:rPr>
              <w:t xml:space="preserve">welcomes </w:t>
            </w:r>
            <w:r w:rsidRPr="00C95C01">
              <w:rPr>
                <w:rFonts w:eastAsia="Century Gothic" w:cs="Times New Roman"/>
                <w:color w:val="2D659A"/>
                <w:sz w:val="20"/>
              </w:rPr>
              <w:t>ESMA’s</w:t>
            </w:r>
            <w:r w:rsidRPr="00C95C01">
              <w:rPr>
                <w:rFonts w:eastAsia="Century Gothic" w:cs="Times New Roman"/>
                <w:color w:val="2D659A"/>
                <w:sz w:val="20"/>
                <w:lang w:val="en-GB"/>
              </w:rPr>
              <w:t xml:space="preserve"> </w:t>
            </w:r>
            <w:proofErr w:type="spellStart"/>
            <w:r w:rsidRPr="00C95C01">
              <w:rPr>
                <w:rFonts w:eastAsia="Century Gothic" w:cs="Times New Roman"/>
                <w:color w:val="2D659A"/>
                <w:sz w:val="20"/>
                <w:lang w:val="en-GB"/>
              </w:rPr>
              <w:t>differentiat</w:t>
            </w:r>
            <w:proofErr w:type="spellEnd"/>
            <w:r w:rsidRPr="00C95C01">
              <w:rPr>
                <w:rFonts w:eastAsia="Century Gothic" w:cs="Times New Roman"/>
                <w:color w:val="2D659A"/>
                <w:sz w:val="20"/>
              </w:rPr>
              <w:t>ion</w:t>
            </w:r>
            <w:r w:rsidRPr="00C95C01">
              <w:rPr>
                <w:rFonts w:eastAsia="Century Gothic" w:cs="Times New Roman"/>
                <w:color w:val="2D659A"/>
                <w:sz w:val="20"/>
                <w:lang w:val="en-GB"/>
              </w:rPr>
              <w:t xml:space="preserve"> between netting on trade level and pa</w:t>
            </w:r>
            <w:proofErr w:type="spellStart"/>
            <w:r w:rsidRPr="00C95C01">
              <w:rPr>
                <w:rFonts w:eastAsia="Century Gothic" w:cs="Times New Roman"/>
                <w:color w:val="2D659A"/>
                <w:sz w:val="20"/>
              </w:rPr>
              <w:t>i</w:t>
            </w:r>
            <w:proofErr w:type="spellEnd"/>
            <w:r w:rsidRPr="00C95C01">
              <w:rPr>
                <w:rFonts w:eastAsia="Century Gothic" w:cs="Times New Roman"/>
                <w:color w:val="2D659A"/>
                <w:sz w:val="20"/>
                <w:lang w:val="en-GB"/>
              </w:rPr>
              <w:t>ring-off on settlement level as expressed by reference to</w:t>
            </w:r>
            <w:r w:rsidRPr="00C95C01">
              <w:rPr>
                <w:rFonts w:eastAsia="Century Gothic" w:cs="Times New Roman"/>
                <w:color w:val="2D659A"/>
                <w:sz w:val="20"/>
              </w:rPr>
              <w:t xml:space="preserve"> point (k) of Article 2 of Directive 98/26/EC</w:t>
            </w:r>
            <w:r w:rsidRPr="00C95C01">
              <w:rPr>
                <w:rFonts w:eastAsia="Century Gothic" w:cs="Times New Roman"/>
                <w:color w:val="2D659A"/>
                <w:sz w:val="20"/>
                <w:lang w:val="en-GB"/>
              </w:rPr>
              <w:t>.</w:t>
            </w:r>
            <w:r w:rsidRPr="00C95C01">
              <w:rPr>
                <w:rFonts w:eastAsia="Century Gothic" w:cs="Times New Roman"/>
                <w:color w:val="2D659A"/>
                <w:sz w:val="20"/>
              </w:rPr>
              <w:t xml:space="preserve"> </w:t>
            </w:r>
            <w:r w:rsidR="00C91018">
              <w:rPr>
                <w:rFonts w:eastAsia="Century Gothic" w:cs="Times New Roman"/>
                <w:color w:val="2D659A"/>
                <w:sz w:val="20"/>
                <w:lang w:val="en-GB"/>
              </w:rPr>
              <w:t>AFTI</w:t>
            </w:r>
            <w:bookmarkStart w:id="0" w:name="_GoBack"/>
            <w:bookmarkEnd w:id="0"/>
            <w:r w:rsidRPr="00C95C01">
              <w:rPr>
                <w:rFonts w:eastAsia="Century Gothic" w:cs="Times New Roman"/>
                <w:color w:val="2D659A"/>
                <w:sz w:val="20"/>
                <w:lang w:val="en-GB"/>
              </w:rPr>
              <w:t xml:space="preserve"> agrees that netting on trade level does not fulfil requirements of an internalised settlement because netted transactions (trades) do not result in settlement instructions </w:t>
            </w:r>
            <w:r w:rsidRPr="00C95C01">
              <w:rPr>
                <w:rFonts w:eastAsia="Century Gothic" w:cs="Times New Roman"/>
                <w:color w:val="2D659A"/>
                <w:sz w:val="20"/>
              </w:rPr>
              <w:t xml:space="preserve">at all and, hence, cannot result in </w:t>
            </w:r>
            <w:proofErr w:type="spellStart"/>
            <w:r w:rsidRPr="00C95C01">
              <w:rPr>
                <w:rFonts w:eastAsia="Century Gothic" w:cs="Times New Roman"/>
                <w:color w:val="2D659A"/>
                <w:sz w:val="20"/>
              </w:rPr>
              <w:t>internalised</w:t>
            </w:r>
            <w:proofErr w:type="spellEnd"/>
            <w:r w:rsidRPr="00C95C01">
              <w:rPr>
                <w:rFonts w:eastAsia="Century Gothic" w:cs="Times New Roman"/>
                <w:color w:val="2D659A"/>
                <w:sz w:val="20"/>
              </w:rPr>
              <w:t xml:space="preserve"> settlements, either. This should be clarified in para 12 g) further below (“transactions that are cleared”).</w:t>
            </w:r>
          </w:p>
          <w:p w14:paraId="646EFF69" w14:textId="77777777" w:rsidR="00E57599" w:rsidRPr="00C95C01" w:rsidRDefault="00E57599" w:rsidP="009F653F">
            <w:pPr>
              <w:spacing w:after="0"/>
              <w:jc w:val="both"/>
              <w:rPr>
                <w:rFonts w:eastAsia="Century Gothic" w:cs="Times New Roman"/>
                <w:color w:val="2D659A"/>
                <w:sz w:val="20"/>
              </w:rPr>
            </w:pPr>
          </w:p>
          <w:p w14:paraId="11493ED5"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lang w:val="en-GB"/>
              </w:rPr>
              <w:lastRenderedPageBreak/>
              <w:t xml:space="preserve">However, </w:t>
            </w:r>
            <w:r>
              <w:rPr>
                <w:rFonts w:eastAsia="Century Gothic" w:cs="Times New Roman"/>
                <w:color w:val="2D659A"/>
                <w:sz w:val="20"/>
              </w:rPr>
              <w:t>AFTI</w:t>
            </w:r>
            <w:r w:rsidRPr="00C95C01">
              <w:rPr>
                <w:rFonts w:eastAsia="Century Gothic" w:cs="Times New Roman"/>
                <w:color w:val="2D659A"/>
                <w:sz w:val="20"/>
                <w:lang w:val="en-GB"/>
              </w:rPr>
              <w:t xml:space="preserve"> disagrees with a general reporting obligation of all paired-off transactions.</w:t>
            </w:r>
            <w:r w:rsidRPr="00C95C01">
              <w:rPr>
                <w:rFonts w:eastAsia="Century Gothic" w:cs="Times New Roman"/>
                <w:color w:val="2D659A"/>
                <w:sz w:val="20"/>
              </w:rPr>
              <w:t xml:space="preserve"> Rather, the following should be taken into account</w:t>
            </w:r>
            <w:r w:rsidRPr="00C95C01">
              <w:rPr>
                <w:rFonts w:eastAsia="Century Gothic" w:cs="Times New Roman"/>
                <w:color w:val="2D659A"/>
                <w:sz w:val="20"/>
                <w:lang w:val="en-GB"/>
              </w:rPr>
              <w:t>:</w:t>
            </w:r>
          </w:p>
          <w:p w14:paraId="41FC3185" w14:textId="77777777" w:rsidR="00E57599" w:rsidRPr="00C95C01" w:rsidRDefault="00E57599" w:rsidP="00E57599">
            <w:pPr>
              <w:numPr>
                <w:ilvl w:val="0"/>
                <w:numId w:val="7"/>
              </w:numPr>
              <w:ind w:left="360"/>
              <w:contextualSpacing/>
              <w:jc w:val="both"/>
              <w:rPr>
                <w:rFonts w:eastAsia="Century Gothic" w:cs="Times New Roman"/>
                <w:color w:val="2D659A"/>
                <w:sz w:val="20"/>
              </w:rPr>
            </w:pPr>
            <w:r w:rsidRPr="00C95C01">
              <w:rPr>
                <w:rFonts w:eastAsia="Century Gothic" w:cs="Times New Roman"/>
                <w:color w:val="2D659A"/>
                <w:sz w:val="20"/>
              </w:rPr>
              <w:t>In case of a technical pair-off (e.g. the systems cancel the original settlement instructions of their clients and replace them by new instructions</w:t>
            </w:r>
            <w:r w:rsidRPr="00C95C01">
              <w:rPr>
                <w:rFonts w:eastAsia="Century Gothic" w:cs="Times New Roman"/>
                <w:color w:val="2D659A"/>
                <w:sz w:val="20"/>
                <w:lang w:val="en-GB"/>
              </w:rPr>
              <w:t xml:space="preserve"> regarding the difference of the paired-off securities (“delta”) due to contractual agreements with the clients)</w:t>
            </w:r>
            <w:r w:rsidRPr="00C95C01">
              <w:rPr>
                <w:rFonts w:eastAsia="Century Gothic" w:cs="Times New Roman"/>
                <w:color w:val="2D659A"/>
                <w:sz w:val="20"/>
              </w:rPr>
              <w:t xml:space="preserve">, an </w:t>
            </w:r>
            <w:proofErr w:type="spellStart"/>
            <w:r w:rsidRPr="00C95C01">
              <w:rPr>
                <w:rFonts w:eastAsia="Century Gothic" w:cs="Times New Roman"/>
                <w:color w:val="2D659A"/>
                <w:sz w:val="20"/>
              </w:rPr>
              <w:t>internalised</w:t>
            </w:r>
            <w:proofErr w:type="spellEnd"/>
            <w:r w:rsidRPr="00C95C01">
              <w:rPr>
                <w:rFonts w:eastAsia="Century Gothic" w:cs="Times New Roman"/>
                <w:color w:val="2D659A"/>
                <w:sz w:val="20"/>
              </w:rPr>
              <w:t xml:space="preserve"> settlement can only take place regarding the delta and not regarding the paired-off number of securities, as a movement of securities is only to take place regarding the delta according to the client’s (new) settlement instruction. Such settlement </w:t>
            </w:r>
            <w:proofErr w:type="spellStart"/>
            <w:r w:rsidRPr="00C95C01">
              <w:rPr>
                <w:rFonts w:eastAsia="Century Gothic" w:cs="Times New Roman"/>
                <w:color w:val="2D659A"/>
                <w:sz w:val="20"/>
              </w:rPr>
              <w:t>internalisation</w:t>
            </w:r>
            <w:proofErr w:type="spellEnd"/>
            <w:r w:rsidRPr="00C95C01">
              <w:rPr>
                <w:rFonts w:eastAsia="Century Gothic" w:cs="Times New Roman"/>
                <w:color w:val="2D659A"/>
                <w:sz w:val="20"/>
              </w:rPr>
              <w:t xml:space="preserve"> should be reported</w:t>
            </w:r>
            <w:r w:rsidRPr="00C95C01">
              <w:rPr>
                <w:rFonts w:eastAsia="Century Gothic" w:cs="Times New Roman"/>
                <w:color w:val="2D659A"/>
                <w:sz w:val="20"/>
                <w:lang w:val="en-GB"/>
              </w:rPr>
              <w:t xml:space="preserve"> (“net reporting”). If the delta, however</w:t>
            </w:r>
            <w:r w:rsidRPr="00C95C01">
              <w:rPr>
                <w:rFonts w:eastAsia="Century Gothic" w:cs="Times New Roman"/>
                <w:color w:val="2D659A"/>
                <w:sz w:val="20"/>
              </w:rPr>
              <w:t>,</w:t>
            </w:r>
            <w:r w:rsidRPr="00C95C01">
              <w:rPr>
                <w:rFonts w:eastAsia="Century Gothic" w:cs="Times New Roman"/>
                <w:color w:val="2D659A"/>
                <w:sz w:val="20"/>
                <w:lang w:val="en-GB"/>
              </w:rPr>
              <w:t xml:space="preserve"> is settled externally (</w:t>
            </w:r>
            <w:r w:rsidRPr="00C95C01">
              <w:rPr>
                <w:rFonts w:eastAsia="Century Gothic" w:cs="Times New Roman"/>
                <w:color w:val="2D659A"/>
                <w:sz w:val="20"/>
              </w:rPr>
              <w:t>at the CSD, for instance</w:t>
            </w:r>
            <w:r w:rsidRPr="00C95C01">
              <w:rPr>
                <w:rFonts w:eastAsia="Century Gothic" w:cs="Times New Roman"/>
                <w:color w:val="2D659A"/>
                <w:sz w:val="20"/>
                <w:lang w:val="en-GB"/>
              </w:rPr>
              <w:t xml:space="preserve">) </w:t>
            </w:r>
            <w:r w:rsidRPr="00C95C01">
              <w:rPr>
                <w:rFonts w:eastAsia="Century Gothic" w:cs="Times New Roman"/>
                <w:color w:val="2D659A"/>
                <w:sz w:val="20"/>
              </w:rPr>
              <w:t>no reporting should take place. The technical pair-off limits the settlement risk</w:t>
            </w:r>
            <w:r w:rsidRPr="00C95C01">
              <w:rPr>
                <w:rFonts w:eastAsia="Century Gothic" w:cs="Times New Roman"/>
                <w:color w:val="2D659A"/>
                <w:sz w:val="20"/>
                <w:lang w:val="en-GB"/>
              </w:rPr>
              <w:t xml:space="preserve">, i.e. </w:t>
            </w:r>
            <w:r w:rsidRPr="00C95C01">
              <w:rPr>
                <w:rFonts w:eastAsia="Century Gothic" w:cs="Times New Roman"/>
                <w:color w:val="2D659A"/>
                <w:sz w:val="20"/>
              </w:rPr>
              <w:t>settlement fails will be avoided</w:t>
            </w:r>
            <w:r w:rsidRPr="00C95C01">
              <w:rPr>
                <w:rFonts w:eastAsia="Century Gothic" w:cs="Times New Roman"/>
                <w:color w:val="2D659A"/>
                <w:sz w:val="20"/>
                <w:lang w:val="en-GB"/>
              </w:rPr>
              <w:t xml:space="preserve">. </w:t>
            </w:r>
            <w:r w:rsidRPr="00C95C01">
              <w:rPr>
                <w:rFonts w:eastAsia="Century Gothic" w:cs="Times New Roman"/>
                <w:color w:val="2D659A"/>
                <w:sz w:val="20"/>
              </w:rPr>
              <w:t>Therefore, reporting would not even be necessary from a risk perspective, either, as any potential risk is eliminated by the pair-off.</w:t>
            </w:r>
          </w:p>
          <w:p w14:paraId="03048161" w14:textId="77777777" w:rsidR="00E57599" w:rsidRPr="00C95C01" w:rsidRDefault="00E57599" w:rsidP="009F653F">
            <w:pPr>
              <w:ind w:left="360"/>
              <w:contextualSpacing/>
              <w:jc w:val="both"/>
              <w:rPr>
                <w:rFonts w:eastAsia="Century Gothic" w:cs="Times New Roman"/>
                <w:color w:val="2D659A"/>
                <w:sz w:val="20"/>
              </w:rPr>
            </w:pPr>
          </w:p>
          <w:p w14:paraId="5EE41358" w14:textId="77777777" w:rsidR="00E57599" w:rsidRPr="00C95C01" w:rsidRDefault="00E57599" w:rsidP="00E57599">
            <w:pPr>
              <w:numPr>
                <w:ilvl w:val="0"/>
                <w:numId w:val="6"/>
              </w:numPr>
              <w:ind w:left="360"/>
              <w:contextualSpacing/>
              <w:jc w:val="both"/>
              <w:rPr>
                <w:rFonts w:eastAsia="Century Gothic" w:cs="Times New Roman"/>
                <w:color w:val="2D659A"/>
                <w:sz w:val="20"/>
              </w:rPr>
            </w:pPr>
            <w:r w:rsidRPr="00C95C01">
              <w:rPr>
                <w:rFonts w:eastAsia="Century Gothic" w:cs="Times New Roman"/>
                <w:color w:val="2D659A"/>
                <w:sz w:val="20"/>
                <w:lang w:val="en-GB"/>
              </w:rPr>
              <w:t>If the systems do not cater for a technical pair-off,</w:t>
            </w:r>
            <w:r w:rsidRPr="00C95C01">
              <w:rPr>
                <w:rFonts w:eastAsia="Century Gothic" w:cs="Times New Roman"/>
                <w:color w:val="2D659A"/>
                <w:sz w:val="20"/>
              </w:rPr>
              <w:t xml:space="preserve"> reporting applies to the full amount:</w:t>
            </w:r>
            <w:r w:rsidRPr="00C95C01">
              <w:rPr>
                <w:rFonts w:eastAsia="Century Gothic" w:cs="Times New Roman"/>
                <w:color w:val="2D659A"/>
                <w:sz w:val="20"/>
                <w:lang w:val="en-GB"/>
              </w:rPr>
              <w:t xml:space="preserve"> </w:t>
            </w:r>
            <w:r w:rsidRPr="00C95C01">
              <w:rPr>
                <w:rFonts w:eastAsia="Century Gothic" w:cs="Times New Roman"/>
                <w:color w:val="2D659A"/>
                <w:sz w:val="20"/>
              </w:rPr>
              <w:t xml:space="preserve">although </w:t>
            </w:r>
            <w:r w:rsidRPr="00C95C01">
              <w:rPr>
                <w:rFonts w:eastAsia="Century Gothic" w:cs="Times New Roman"/>
                <w:color w:val="2D659A"/>
                <w:sz w:val="20"/>
                <w:lang w:val="en-GB"/>
              </w:rPr>
              <w:t xml:space="preserve">securities movements only take place in the </w:t>
            </w:r>
            <w:r w:rsidRPr="00C95C01">
              <w:rPr>
                <w:rFonts w:eastAsia="Century Gothic" w:cs="Times New Roman"/>
                <w:color w:val="2D659A"/>
                <w:sz w:val="20"/>
              </w:rPr>
              <w:t>amount of the delta, t</w:t>
            </w:r>
            <w:r w:rsidRPr="00C95C01">
              <w:rPr>
                <w:rFonts w:eastAsia="Century Gothic" w:cs="Times New Roman"/>
                <w:color w:val="2D659A"/>
                <w:sz w:val="20"/>
                <w:lang w:val="en-GB"/>
              </w:rPr>
              <w:t>he settlement in</w:t>
            </w:r>
            <w:r w:rsidRPr="00C95C01">
              <w:rPr>
                <w:rFonts w:eastAsia="Century Gothic" w:cs="Times New Roman"/>
                <w:color w:val="2D659A"/>
                <w:sz w:val="20"/>
              </w:rPr>
              <w:t>s</w:t>
            </w:r>
            <w:proofErr w:type="spellStart"/>
            <w:r w:rsidRPr="00C95C01">
              <w:rPr>
                <w:rFonts w:eastAsia="Century Gothic" w:cs="Times New Roman"/>
                <w:color w:val="2D659A"/>
                <w:sz w:val="20"/>
                <w:lang w:val="en-GB"/>
              </w:rPr>
              <w:t>tructions</w:t>
            </w:r>
            <w:proofErr w:type="spellEnd"/>
            <w:r w:rsidRPr="00C95C01">
              <w:rPr>
                <w:rFonts w:eastAsia="Century Gothic" w:cs="Times New Roman"/>
                <w:color w:val="2D659A"/>
                <w:sz w:val="20"/>
                <w:lang w:val="en-GB"/>
              </w:rPr>
              <w:t xml:space="preserve"> </w:t>
            </w:r>
            <w:r w:rsidRPr="00C95C01">
              <w:rPr>
                <w:rFonts w:eastAsia="Century Gothic" w:cs="Times New Roman"/>
                <w:color w:val="2D659A"/>
                <w:sz w:val="20"/>
              </w:rPr>
              <w:t xml:space="preserve">actually executed </w:t>
            </w:r>
            <w:r w:rsidRPr="00C95C01">
              <w:rPr>
                <w:rFonts w:eastAsia="Century Gothic" w:cs="Times New Roman"/>
                <w:color w:val="2D659A"/>
                <w:sz w:val="20"/>
                <w:lang w:val="en-GB"/>
              </w:rPr>
              <w:t xml:space="preserve">refer to a higher volume. In this case, the settlement instructions </w:t>
            </w:r>
            <w:r w:rsidRPr="00C95C01">
              <w:rPr>
                <w:rFonts w:eastAsia="Century Gothic" w:cs="Times New Roman"/>
                <w:color w:val="2D659A"/>
                <w:sz w:val="20"/>
              </w:rPr>
              <w:t>need</w:t>
            </w:r>
            <w:r w:rsidRPr="00C95C01">
              <w:rPr>
                <w:rFonts w:eastAsia="Century Gothic" w:cs="Times New Roman"/>
                <w:color w:val="2D659A"/>
                <w:sz w:val="20"/>
                <w:lang w:val="en-GB"/>
              </w:rPr>
              <w:t xml:space="preserve"> to be reported regarding their full volume</w:t>
            </w:r>
            <w:r w:rsidRPr="00C95C01">
              <w:rPr>
                <w:rFonts w:eastAsia="Century Gothic" w:cs="Times New Roman"/>
                <w:color w:val="2D659A"/>
                <w:sz w:val="20"/>
              </w:rPr>
              <w:t>,</w:t>
            </w:r>
            <w:r w:rsidRPr="00C95C01">
              <w:rPr>
                <w:rFonts w:eastAsia="Century Gothic" w:cs="Times New Roman"/>
                <w:color w:val="2D659A"/>
                <w:sz w:val="20"/>
                <w:lang w:val="en-GB"/>
              </w:rPr>
              <w:t xml:space="preserve"> although execution </w:t>
            </w:r>
            <w:r w:rsidRPr="00C95C01">
              <w:rPr>
                <w:rFonts w:eastAsia="Century Gothic" w:cs="Times New Roman"/>
                <w:color w:val="2D659A"/>
                <w:sz w:val="20"/>
              </w:rPr>
              <w:t>of the settlement instructions results in movement of less securities, i.e. the delta</w:t>
            </w:r>
            <w:r w:rsidRPr="00C95C01">
              <w:rPr>
                <w:rFonts w:eastAsia="Century Gothic" w:cs="Times New Roman"/>
                <w:color w:val="2D659A"/>
                <w:sz w:val="20"/>
                <w:lang w:val="en-GB"/>
              </w:rPr>
              <w:t xml:space="preserve"> (“gross reporting”).</w:t>
            </w:r>
          </w:p>
          <w:p w14:paraId="6EC6FE25" w14:textId="77777777" w:rsidR="00E57599" w:rsidRPr="00C95C01" w:rsidRDefault="00E57599" w:rsidP="009F653F">
            <w:pPr>
              <w:ind w:left="360"/>
              <w:contextualSpacing/>
              <w:jc w:val="both"/>
              <w:rPr>
                <w:rFonts w:eastAsia="Century Gothic" w:cs="Times New Roman"/>
                <w:color w:val="2D659A"/>
                <w:sz w:val="20"/>
              </w:rPr>
            </w:pPr>
          </w:p>
        </w:tc>
      </w:tr>
      <w:tr w:rsidR="00E57599" w:rsidRPr="00C95C01" w14:paraId="03A28885"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15A98B50"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lastRenderedPageBreak/>
              <w:t xml:space="preserve">f) transfers of securities between accounts of different funds (funds with or without legal personality should be treated as clients); </w:t>
            </w:r>
          </w:p>
        </w:tc>
        <w:tc>
          <w:tcPr>
            <w:tcW w:w="5270" w:type="dxa"/>
          </w:tcPr>
          <w:p w14:paraId="2452480B"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Should read “investment funds” for clarification.</w:t>
            </w:r>
          </w:p>
        </w:tc>
      </w:tr>
      <w:tr w:rsidR="00E57599" w:rsidRPr="00C95C01" w14:paraId="2CC6C62C" w14:textId="77777777" w:rsidTr="009F653F">
        <w:tc>
          <w:tcPr>
            <w:tcW w:w="3746" w:type="dxa"/>
          </w:tcPr>
          <w:p w14:paraId="0D5C047A"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g) intragroup transactions; </w:t>
            </w:r>
          </w:p>
        </w:tc>
        <w:tc>
          <w:tcPr>
            <w:tcW w:w="5270" w:type="dxa"/>
          </w:tcPr>
          <w:p w14:paraId="1E246B9A" w14:textId="77777777" w:rsidR="00E57599" w:rsidRDefault="00E57599" w:rsidP="009F653F">
            <w:pPr>
              <w:jc w:val="both"/>
              <w:rPr>
                <w:rFonts w:eastAsia="Century Gothic" w:cs="Times New Roman"/>
                <w:color w:val="2D659A"/>
                <w:sz w:val="20"/>
              </w:rPr>
            </w:pPr>
            <w:r w:rsidRPr="00C95C01">
              <w:rPr>
                <w:rFonts w:eastAsia="Century Gothic" w:cs="Times New Roman"/>
                <w:color w:val="2D659A"/>
                <w:sz w:val="20"/>
              </w:rPr>
              <w:t>In order to avoid inconsistencies with para 12 d) it should be clarified that a reporting obligation</w:t>
            </w:r>
            <w:r>
              <w:rPr>
                <w:rFonts w:eastAsia="Century Gothic" w:cs="Times New Roman"/>
                <w:color w:val="2D659A"/>
                <w:sz w:val="20"/>
              </w:rPr>
              <w:t xml:space="preserve"> can only</w:t>
            </w:r>
            <w:r w:rsidRPr="00C95C01">
              <w:rPr>
                <w:rFonts w:eastAsia="Century Gothic" w:cs="Times New Roman"/>
                <w:color w:val="2D659A"/>
                <w:sz w:val="20"/>
              </w:rPr>
              <w:t xml:space="preserve"> exist provided that the transaction refers to two (legally different) clients</w:t>
            </w:r>
            <w:r>
              <w:rPr>
                <w:rFonts w:eastAsia="Century Gothic" w:cs="Times New Roman"/>
                <w:color w:val="2D659A"/>
                <w:sz w:val="20"/>
              </w:rPr>
              <w:t>. Furthermore, all other prerequisites for the reporting obligation need to be fulfilled, particularly:</w:t>
            </w:r>
            <w:r w:rsidRPr="00C95C01">
              <w:rPr>
                <w:rFonts w:eastAsia="Century Gothic" w:cs="Times New Roman"/>
                <w:color w:val="2D659A"/>
                <w:sz w:val="20"/>
              </w:rPr>
              <w:t xml:space="preserve"> movements of securities take place between two accounts </w:t>
            </w:r>
            <w:r>
              <w:rPr>
                <w:rFonts w:eastAsia="Century Gothic" w:cs="Times New Roman"/>
                <w:color w:val="2D659A"/>
                <w:sz w:val="20"/>
              </w:rPr>
              <w:t>and by</w:t>
            </w:r>
            <w:r w:rsidRPr="00C95C01">
              <w:rPr>
                <w:rFonts w:eastAsia="Century Gothic" w:cs="Times New Roman"/>
                <w:color w:val="2D659A"/>
                <w:sz w:val="20"/>
              </w:rPr>
              <w:t xml:space="preserve"> client instruction</w:t>
            </w:r>
            <w:r>
              <w:rPr>
                <w:rFonts w:eastAsia="Century Gothic" w:cs="Times New Roman"/>
                <w:color w:val="2D659A"/>
                <w:sz w:val="20"/>
              </w:rPr>
              <w:t>.</w:t>
            </w:r>
          </w:p>
          <w:p w14:paraId="7640BE05" w14:textId="77777777" w:rsidR="00E57599" w:rsidRPr="00C95C01" w:rsidRDefault="00E57599" w:rsidP="009F653F">
            <w:pPr>
              <w:jc w:val="both"/>
              <w:rPr>
                <w:rFonts w:eastAsia="Century Gothic" w:cs="Times New Roman"/>
                <w:color w:val="2D659A"/>
                <w:sz w:val="20"/>
              </w:rPr>
            </w:pPr>
            <w:r>
              <w:rPr>
                <w:rFonts w:eastAsia="Century Gothic" w:cs="Times New Roman"/>
                <w:color w:val="2D659A"/>
                <w:sz w:val="20"/>
              </w:rPr>
              <w:t xml:space="preserve"> </w:t>
            </w:r>
          </w:p>
        </w:tc>
      </w:tr>
      <w:tr w:rsidR="00E57599" w:rsidRPr="00C95C01" w14:paraId="416020C3"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60AD3F4E"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h) execution of transfer orders by a settlement </w:t>
            </w:r>
            <w:proofErr w:type="spellStart"/>
            <w:r w:rsidRPr="00C95C01">
              <w:rPr>
                <w:rFonts w:eastAsia="Century Gothic" w:cs="Times New Roman"/>
                <w:color w:val="2D659A"/>
                <w:sz w:val="20"/>
              </w:rPr>
              <w:t>internaliser</w:t>
            </w:r>
            <w:proofErr w:type="spellEnd"/>
            <w:r w:rsidRPr="00C95C01">
              <w:rPr>
                <w:rFonts w:eastAsia="Century Gothic" w:cs="Times New Roman"/>
                <w:color w:val="2D659A"/>
                <w:sz w:val="20"/>
              </w:rPr>
              <w:t xml:space="preserve"> on its own account, to the extent that they result from securities transactions </w:t>
            </w:r>
            <w:r w:rsidRPr="00C95C01">
              <w:rPr>
                <w:rFonts w:eastAsia="Century Gothic" w:cs="Times New Roman"/>
                <w:color w:val="2D659A"/>
                <w:sz w:val="20"/>
              </w:rPr>
              <w:lastRenderedPageBreak/>
              <w:t xml:space="preserve">with clients of the settlement </w:t>
            </w:r>
            <w:proofErr w:type="spellStart"/>
            <w:r w:rsidRPr="00C95C01">
              <w:rPr>
                <w:rFonts w:eastAsia="Century Gothic" w:cs="Times New Roman"/>
                <w:color w:val="2D659A"/>
                <w:sz w:val="20"/>
              </w:rPr>
              <w:t>internaliser</w:t>
            </w:r>
            <w:proofErr w:type="spellEnd"/>
            <w:r w:rsidRPr="00C95C01">
              <w:rPr>
                <w:rFonts w:eastAsia="Century Gothic" w:cs="Times New Roman"/>
                <w:color w:val="2D659A"/>
                <w:sz w:val="20"/>
              </w:rPr>
              <w:t xml:space="preserve">; </w:t>
            </w:r>
          </w:p>
        </w:tc>
        <w:tc>
          <w:tcPr>
            <w:tcW w:w="5270" w:type="dxa"/>
          </w:tcPr>
          <w:p w14:paraId="71626B73"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lastRenderedPageBreak/>
              <w:t>Agreed as long as:</w:t>
            </w:r>
          </w:p>
          <w:p w14:paraId="67C10BFE"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Movement from one account to another, </w:t>
            </w:r>
          </w:p>
          <w:p w14:paraId="73F5FACB"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lastRenderedPageBreak/>
              <w:t xml:space="preserve">No parallel movement higher up the custody chain occurs and </w:t>
            </w:r>
          </w:p>
          <w:p w14:paraId="3EA330B0" w14:textId="77777777" w:rsidR="00E57599"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In execution of a settlement instruction by a client.</w:t>
            </w:r>
          </w:p>
          <w:p w14:paraId="158F9BFE" w14:textId="77777777" w:rsidR="00E57599" w:rsidRPr="00C95C01" w:rsidRDefault="00E57599" w:rsidP="009F653F">
            <w:pPr>
              <w:ind w:left="360"/>
              <w:contextualSpacing/>
              <w:jc w:val="both"/>
              <w:rPr>
                <w:rFonts w:eastAsia="Century Gothic" w:cs="Times New Roman"/>
                <w:color w:val="2D659A"/>
                <w:sz w:val="20"/>
              </w:rPr>
            </w:pPr>
          </w:p>
        </w:tc>
      </w:tr>
      <w:tr w:rsidR="00E57599" w:rsidRPr="00C95C01" w14:paraId="52453042" w14:textId="77777777" w:rsidTr="009F653F">
        <w:tc>
          <w:tcPr>
            <w:tcW w:w="3746" w:type="dxa"/>
          </w:tcPr>
          <w:p w14:paraId="1FD5A93D" w14:textId="77777777" w:rsidR="00E57599" w:rsidRPr="00C95C01" w:rsidRDefault="00E57599" w:rsidP="009F653F">
            <w:pPr>
              <w:jc w:val="both"/>
              <w:rPr>
                <w:rFonts w:eastAsia="Century Gothic" w:cs="Times New Roman"/>
                <w:color w:val="2D659A"/>
                <w:sz w:val="20"/>
              </w:rPr>
            </w:pPr>
            <w:proofErr w:type="spellStart"/>
            <w:r w:rsidRPr="00C95C01">
              <w:rPr>
                <w:rFonts w:eastAsia="Century Gothic" w:cs="Times New Roman"/>
                <w:color w:val="2D659A"/>
                <w:sz w:val="20"/>
              </w:rPr>
              <w:lastRenderedPageBreak/>
              <w:t>i</w:t>
            </w:r>
            <w:proofErr w:type="spellEnd"/>
            <w:r w:rsidRPr="00C95C01">
              <w:rPr>
                <w:rFonts w:eastAsia="Century Gothic" w:cs="Times New Roman"/>
                <w:color w:val="2D659A"/>
                <w:sz w:val="20"/>
              </w:rPr>
              <w:t xml:space="preserve">) title transfer financial collateral arrangements as defined in point (b) of Article 2(1) of Directive 2002/47/EC8 (SFD) </w:t>
            </w:r>
          </w:p>
        </w:tc>
        <w:tc>
          <w:tcPr>
            <w:tcW w:w="5270" w:type="dxa"/>
          </w:tcPr>
          <w:p w14:paraId="62CA5F2D"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Proposed deletion as already covered in b) to d) above.</w:t>
            </w:r>
          </w:p>
          <w:p w14:paraId="08B22F45" w14:textId="77777777" w:rsidR="00E57599"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ESMA should clarify if different legal entities are the only scenario, as otherwise this will always result in a movement at </w:t>
            </w:r>
            <w:r>
              <w:rPr>
                <w:rFonts w:eastAsia="Century Gothic" w:cs="Times New Roman"/>
                <w:color w:val="2D659A"/>
                <w:sz w:val="20"/>
              </w:rPr>
              <w:t>sub-custodian or</w:t>
            </w:r>
            <w:r w:rsidRPr="00C95C01">
              <w:rPr>
                <w:rFonts w:eastAsia="Century Gothic" w:cs="Times New Roman"/>
                <w:color w:val="2D659A"/>
                <w:sz w:val="20"/>
              </w:rPr>
              <w:t xml:space="preserve"> CSD level.</w:t>
            </w:r>
          </w:p>
          <w:p w14:paraId="36CC2F73" w14:textId="77777777" w:rsidR="00E57599" w:rsidRPr="00C95C01" w:rsidRDefault="00E57599" w:rsidP="009F653F">
            <w:pPr>
              <w:jc w:val="both"/>
              <w:rPr>
                <w:rFonts w:eastAsia="Century Gothic" w:cs="Times New Roman"/>
                <w:color w:val="2D659A"/>
                <w:sz w:val="20"/>
              </w:rPr>
            </w:pPr>
          </w:p>
        </w:tc>
      </w:tr>
      <w:tr w:rsidR="00E57599" w:rsidRPr="00C95C01" w14:paraId="63593FBC"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435939E1"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j) security financial collateral arrangements as defined in point (c) of Article 2(1) of SFD, where there is a transfer of securities between accounts; </w:t>
            </w:r>
          </w:p>
        </w:tc>
        <w:tc>
          <w:tcPr>
            <w:tcW w:w="5270" w:type="dxa"/>
          </w:tcPr>
          <w:p w14:paraId="510E47C7"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Proposed deletion as already covered in b) above. </w:t>
            </w:r>
          </w:p>
          <w:p w14:paraId="2BE46B5F" w14:textId="77777777" w:rsidR="00E57599" w:rsidRDefault="00E57599" w:rsidP="009F653F">
            <w:pPr>
              <w:jc w:val="both"/>
              <w:rPr>
                <w:rFonts w:eastAsia="Century Gothic" w:cs="Times New Roman"/>
                <w:color w:val="2D659A"/>
                <w:sz w:val="20"/>
              </w:rPr>
            </w:pPr>
            <w:r w:rsidRPr="00C95C01">
              <w:rPr>
                <w:rFonts w:eastAsia="Century Gothic" w:cs="Times New Roman"/>
                <w:color w:val="2D659A"/>
                <w:sz w:val="20"/>
              </w:rPr>
              <w:t>ESMA should clarify if different legal entities are the only scenario, as otherwise this will always result in a movement at the CSD.</w:t>
            </w:r>
          </w:p>
          <w:p w14:paraId="74F7D953" w14:textId="77777777" w:rsidR="00E57599" w:rsidRPr="00C95C01" w:rsidRDefault="00E57599" w:rsidP="009F653F">
            <w:pPr>
              <w:jc w:val="both"/>
              <w:rPr>
                <w:rFonts w:eastAsia="Century Gothic" w:cs="Times New Roman"/>
                <w:color w:val="2D659A"/>
                <w:sz w:val="20"/>
              </w:rPr>
            </w:pPr>
          </w:p>
        </w:tc>
      </w:tr>
      <w:tr w:rsidR="00E57599" w:rsidRPr="00C95C01" w14:paraId="59F95CB7" w14:textId="77777777" w:rsidTr="009F653F">
        <w:tc>
          <w:tcPr>
            <w:tcW w:w="3746" w:type="dxa"/>
          </w:tcPr>
          <w:p w14:paraId="71EEEF6D"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k) inheritance and gifts, where there is a transfer of securities between accounts; </w:t>
            </w:r>
          </w:p>
        </w:tc>
        <w:tc>
          <w:tcPr>
            <w:tcW w:w="5270" w:type="dxa"/>
          </w:tcPr>
          <w:p w14:paraId="76642A85"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Agreed as long as:</w:t>
            </w:r>
          </w:p>
          <w:p w14:paraId="7BC02F51" w14:textId="77777777" w:rsidR="00E57599" w:rsidRPr="00C95C01"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 xml:space="preserve">Movement from one account to another, </w:t>
            </w:r>
          </w:p>
          <w:p w14:paraId="16E43223" w14:textId="77777777" w:rsidR="00E57599" w:rsidRDefault="00E57599" w:rsidP="00E57599">
            <w:pPr>
              <w:numPr>
                <w:ilvl w:val="0"/>
                <w:numId w:val="2"/>
              </w:numPr>
              <w:contextualSpacing/>
              <w:jc w:val="both"/>
              <w:rPr>
                <w:rFonts w:eastAsia="Century Gothic" w:cs="Times New Roman"/>
                <w:color w:val="2D659A"/>
                <w:sz w:val="20"/>
              </w:rPr>
            </w:pPr>
            <w:r w:rsidRPr="00C95C01">
              <w:rPr>
                <w:rFonts w:eastAsia="Century Gothic" w:cs="Times New Roman"/>
                <w:color w:val="2D659A"/>
                <w:sz w:val="20"/>
              </w:rPr>
              <w:t>No parallel movement higher up the custody chain occurs and following a settlement instruction by a client.</w:t>
            </w:r>
          </w:p>
          <w:p w14:paraId="4B6417FF" w14:textId="77777777" w:rsidR="00E57599" w:rsidRPr="00C95C01" w:rsidRDefault="00E57599" w:rsidP="009F653F">
            <w:pPr>
              <w:ind w:left="360"/>
              <w:contextualSpacing/>
              <w:jc w:val="both"/>
              <w:rPr>
                <w:rFonts w:eastAsia="Century Gothic" w:cs="Times New Roman"/>
                <w:color w:val="2D659A"/>
                <w:sz w:val="20"/>
              </w:rPr>
            </w:pPr>
          </w:p>
        </w:tc>
      </w:tr>
      <w:tr w:rsidR="00E57599" w:rsidRPr="00C95C01" w14:paraId="37D7ED0A"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4E66B278"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l) reallocations of collateral for securities lending; </w:t>
            </w:r>
          </w:p>
        </w:tc>
        <w:tc>
          <w:tcPr>
            <w:tcW w:w="5270" w:type="dxa"/>
          </w:tcPr>
          <w:p w14:paraId="54D98534"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Proposed deletion as already covered by b) or c) above.</w:t>
            </w:r>
          </w:p>
        </w:tc>
      </w:tr>
      <w:tr w:rsidR="00E57599" w:rsidRPr="00C95C01" w14:paraId="73EBC8CE" w14:textId="77777777" w:rsidTr="009F653F">
        <w:tc>
          <w:tcPr>
            <w:tcW w:w="3746" w:type="dxa"/>
          </w:tcPr>
          <w:p w14:paraId="71AD679B"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m) corporate actions on flow represented by transformations</w:t>
            </w:r>
          </w:p>
        </w:tc>
        <w:tc>
          <w:tcPr>
            <w:tcW w:w="5270" w:type="dxa"/>
          </w:tcPr>
          <w:p w14:paraId="246C9062" w14:textId="77777777" w:rsidR="00E57599" w:rsidRPr="00C95C01" w:rsidRDefault="00E57599" w:rsidP="009F653F">
            <w:pPr>
              <w:jc w:val="both"/>
              <w:rPr>
                <w:rFonts w:eastAsia="Century Gothic" w:cs="Times New Roman"/>
                <w:color w:val="2D659A"/>
                <w:sz w:val="20"/>
              </w:rPr>
            </w:pPr>
            <w:r>
              <w:rPr>
                <w:rFonts w:eastAsia="Century Gothic" w:cs="Times New Roman"/>
                <w:color w:val="2D659A"/>
                <w:sz w:val="20"/>
              </w:rPr>
              <w:t>Agreed.</w:t>
            </w:r>
          </w:p>
        </w:tc>
      </w:tr>
      <w:tr w:rsidR="00E57599" w:rsidRPr="00C95C01" w14:paraId="039E35CC" w14:textId="77777777" w:rsidTr="009F653F">
        <w:trPr>
          <w:cnfStyle w:val="000000100000" w:firstRow="0" w:lastRow="0" w:firstColumn="0" w:lastColumn="0" w:oddVBand="0" w:evenVBand="0" w:oddHBand="1" w:evenHBand="0" w:firstRowFirstColumn="0" w:firstRowLastColumn="0" w:lastRowFirstColumn="0" w:lastRowLastColumn="0"/>
        </w:trPr>
        <w:tc>
          <w:tcPr>
            <w:tcW w:w="9016" w:type="dxa"/>
            <w:gridSpan w:val="2"/>
            <w:shd w:val="clear" w:color="auto" w:fill="A0A0A0"/>
          </w:tcPr>
          <w:p w14:paraId="3783726F"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Transactions and operations OUT of scope</w:t>
            </w:r>
          </w:p>
          <w:p w14:paraId="48C9DFDE"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Para. 12 of the draft guidelines</w:t>
            </w:r>
          </w:p>
        </w:tc>
      </w:tr>
      <w:tr w:rsidR="00E57599" w:rsidRPr="00C95C01" w14:paraId="663D71FD" w14:textId="77777777" w:rsidTr="009F653F">
        <w:tc>
          <w:tcPr>
            <w:tcW w:w="3746" w:type="dxa"/>
            <w:shd w:val="clear" w:color="auto" w:fill="A0A0A0"/>
          </w:tcPr>
          <w:p w14:paraId="67828708"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ESMA</w:t>
            </w:r>
          </w:p>
        </w:tc>
        <w:tc>
          <w:tcPr>
            <w:tcW w:w="5270" w:type="dxa"/>
            <w:shd w:val="clear" w:color="auto" w:fill="A0A0A0"/>
          </w:tcPr>
          <w:p w14:paraId="15833964" w14:textId="77777777" w:rsidR="00E57599" w:rsidRPr="00C95C01" w:rsidRDefault="00E57599" w:rsidP="009F653F">
            <w:pPr>
              <w:jc w:val="center"/>
              <w:rPr>
                <w:rFonts w:eastAsia="Century Gothic" w:cs="Times New Roman"/>
                <w:b/>
                <w:color w:val="2D659A"/>
                <w:sz w:val="20"/>
              </w:rPr>
            </w:pPr>
            <w:r>
              <w:rPr>
                <w:rFonts w:eastAsia="Century Gothic" w:cs="Times New Roman"/>
                <w:b/>
                <w:color w:val="2D659A"/>
                <w:sz w:val="20"/>
              </w:rPr>
              <w:t>AFTI</w:t>
            </w:r>
          </w:p>
        </w:tc>
      </w:tr>
      <w:tr w:rsidR="00E57599" w:rsidRPr="00C95C01" w14:paraId="4E62474F"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5E4AEDBF"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 corporate actions on stock, such as cash distributions (e.g. cash dividend, interest payment), securities distributions (e.g. stock dividend; bonus issue), </w:t>
            </w:r>
            <w:proofErr w:type="spellStart"/>
            <w:r w:rsidRPr="00C95C01">
              <w:rPr>
                <w:rFonts w:eastAsia="Century Gothic" w:cs="Times New Roman"/>
                <w:color w:val="2D659A"/>
                <w:sz w:val="20"/>
              </w:rPr>
              <w:t>reorganisations</w:t>
            </w:r>
            <w:proofErr w:type="spellEnd"/>
            <w:r w:rsidRPr="00C95C01">
              <w:rPr>
                <w:rFonts w:eastAsia="Century Gothic" w:cs="Times New Roman"/>
                <w:color w:val="2D659A"/>
                <w:sz w:val="20"/>
              </w:rPr>
              <w:t xml:space="preserve"> (e.g. conversion, stock split, redemption, tender offer);</w:t>
            </w:r>
          </w:p>
        </w:tc>
        <w:tc>
          <w:tcPr>
            <w:tcW w:w="5270" w:type="dxa"/>
          </w:tcPr>
          <w:p w14:paraId="7B8F955F"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Agreed.</w:t>
            </w:r>
          </w:p>
        </w:tc>
      </w:tr>
      <w:tr w:rsidR="00E57599" w:rsidRPr="00C95C01" w14:paraId="2F035B8C" w14:textId="77777777" w:rsidTr="009F653F">
        <w:tc>
          <w:tcPr>
            <w:tcW w:w="3746" w:type="dxa"/>
          </w:tcPr>
          <w:p w14:paraId="2B568DD3"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b) corporate actions on flow represented by market claims;</w:t>
            </w:r>
          </w:p>
        </w:tc>
        <w:tc>
          <w:tcPr>
            <w:tcW w:w="5270" w:type="dxa"/>
          </w:tcPr>
          <w:p w14:paraId="328B8F40"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Agreed.</w:t>
            </w:r>
          </w:p>
        </w:tc>
      </w:tr>
      <w:tr w:rsidR="00E57599" w:rsidRPr="00C95C01" w14:paraId="026970F0"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2EDBE6C6"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c) primary market operations, meaning the process of initial creation of securities, including the creation and redemption of fund units;</w:t>
            </w:r>
          </w:p>
        </w:tc>
        <w:tc>
          <w:tcPr>
            <w:tcW w:w="5270" w:type="dxa"/>
          </w:tcPr>
          <w:p w14:paraId="4530F666"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Agreed.</w:t>
            </w:r>
          </w:p>
        </w:tc>
      </w:tr>
      <w:tr w:rsidR="00E57599" w:rsidRPr="00C95C01" w14:paraId="093003E4" w14:textId="77777777" w:rsidTr="009F653F">
        <w:tc>
          <w:tcPr>
            <w:tcW w:w="3746" w:type="dxa"/>
          </w:tcPr>
          <w:p w14:paraId="221E5E69"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d) transfers of securities between two accounts of the same client;</w:t>
            </w:r>
          </w:p>
        </w:tc>
        <w:tc>
          <w:tcPr>
            <w:tcW w:w="5270" w:type="dxa"/>
          </w:tcPr>
          <w:p w14:paraId="0218B6F8" w14:textId="6F5475E2" w:rsidR="00E57599" w:rsidRPr="00C95C01" w:rsidRDefault="004C10CD" w:rsidP="009F653F">
            <w:pPr>
              <w:jc w:val="both"/>
              <w:rPr>
                <w:rFonts w:eastAsia="Century Gothic" w:cs="Times New Roman"/>
                <w:color w:val="2D659A"/>
                <w:sz w:val="20"/>
                <w:lang w:val="en-GB"/>
              </w:rPr>
            </w:pPr>
            <w:r>
              <w:rPr>
                <w:rFonts w:eastAsia="Century Gothic" w:cs="Times New Roman"/>
                <w:color w:val="2D659A"/>
                <w:sz w:val="20"/>
              </w:rPr>
              <w:t>AFTI</w:t>
            </w:r>
            <w:r w:rsidR="00E57599">
              <w:rPr>
                <w:rFonts w:eastAsia="Century Gothic" w:cs="Times New Roman"/>
                <w:color w:val="2D659A"/>
                <w:sz w:val="20"/>
              </w:rPr>
              <w:t xml:space="preserve"> disagrees with ESMA’s view. We believe that </w:t>
            </w:r>
            <w:r w:rsidR="00E57599" w:rsidRPr="00EA7E28">
              <w:rPr>
                <w:rFonts w:eastAsia="Century Gothic" w:cs="Times New Roman"/>
                <w:color w:val="2D659A"/>
                <w:sz w:val="20"/>
              </w:rPr>
              <w:t xml:space="preserve">Such transfers should be within scope of the reporting obligation of the securities account </w:t>
            </w:r>
            <w:r w:rsidR="00E57599" w:rsidRPr="00EA7E28">
              <w:rPr>
                <w:rFonts w:eastAsia="Century Gothic" w:cs="Times New Roman"/>
                <w:color w:val="2D659A"/>
                <w:sz w:val="20"/>
              </w:rPr>
              <w:lastRenderedPageBreak/>
              <w:t>provider. They should not be within the scope of the reporting obligation of the securities account holder. Any other solution would be highly complex with many areas of uncertainty, and would a major operational burden for all parties (including users of the data).</w:t>
            </w:r>
          </w:p>
        </w:tc>
      </w:tr>
      <w:tr w:rsidR="00E57599" w:rsidRPr="00C95C01" w14:paraId="6A5E5C11"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1211F35C"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lastRenderedPageBreak/>
              <w:t>e) pure cash payments, not related to securities transactions;</w:t>
            </w:r>
          </w:p>
        </w:tc>
        <w:tc>
          <w:tcPr>
            <w:tcW w:w="5270" w:type="dxa"/>
          </w:tcPr>
          <w:p w14:paraId="55B1DD5D" w14:textId="77777777" w:rsidR="00E57599"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Agreed. However, we would like to highlight to ESMA that the Settlement </w:t>
            </w:r>
            <w:proofErr w:type="spellStart"/>
            <w:r w:rsidRPr="00C95C01">
              <w:rPr>
                <w:rFonts w:eastAsia="Century Gothic" w:cs="Times New Roman"/>
                <w:color w:val="2D659A"/>
                <w:sz w:val="20"/>
              </w:rPr>
              <w:t>Internaliser</w:t>
            </w:r>
            <w:proofErr w:type="spellEnd"/>
            <w:r w:rsidRPr="00C95C01">
              <w:rPr>
                <w:rFonts w:eastAsia="Century Gothic" w:cs="Times New Roman"/>
                <w:color w:val="2D659A"/>
                <w:sz w:val="20"/>
              </w:rPr>
              <w:t xml:space="preserve"> may not be able to identify internal cash payments linked to a securities transaction</w:t>
            </w:r>
            <w:proofErr w:type="gramStart"/>
            <w:r>
              <w:rPr>
                <w:rFonts w:eastAsia="Century Gothic" w:cs="Times New Roman"/>
                <w:color w:val="2D659A"/>
                <w:sz w:val="20"/>
              </w:rPr>
              <w:t>.</w:t>
            </w:r>
            <w:r w:rsidRPr="00C95C01">
              <w:rPr>
                <w:rFonts w:eastAsia="Century Gothic" w:cs="Times New Roman"/>
                <w:color w:val="2D659A"/>
                <w:sz w:val="20"/>
              </w:rPr>
              <w:t>.</w:t>
            </w:r>
            <w:proofErr w:type="gramEnd"/>
          </w:p>
          <w:p w14:paraId="23861849" w14:textId="77777777" w:rsidR="00E57599" w:rsidRPr="00C95C01" w:rsidRDefault="00E57599" w:rsidP="009F653F">
            <w:pPr>
              <w:jc w:val="both"/>
              <w:rPr>
                <w:rFonts w:eastAsia="Century Gothic" w:cs="Times New Roman"/>
                <w:color w:val="2D659A"/>
                <w:sz w:val="20"/>
              </w:rPr>
            </w:pPr>
          </w:p>
        </w:tc>
      </w:tr>
      <w:tr w:rsidR="00E57599" w:rsidRPr="00C95C01" w14:paraId="5C61DA40" w14:textId="77777777" w:rsidTr="009F653F">
        <w:tc>
          <w:tcPr>
            <w:tcW w:w="3746" w:type="dxa"/>
          </w:tcPr>
          <w:p w14:paraId="40FEF72E"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f) transactions executed on a trading venue and transferred by the trading venue to a CCP for clearing or to a CSD for settlement;</w:t>
            </w:r>
          </w:p>
        </w:tc>
        <w:tc>
          <w:tcPr>
            <w:tcW w:w="5270" w:type="dxa"/>
          </w:tcPr>
          <w:p w14:paraId="105D74FC" w14:textId="77777777" w:rsidR="00E57599" w:rsidRDefault="00E57599" w:rsidP="009F653F">
            <w:pPr>
              <w:jc w:val="both"/>
              <w:rPr>
                <w:rFonts w:eastAsia="Century Gothic" w:cs="Times New Roman"/>
                <w:color w:val="2D659A"/>
                <w:sz w:val="20"/>
              </w:rPr>
            </w:pPr>
            <w:r w:rsidRPr="00C95C01">
              <w:rPr>
                <w:rFonts w:eastAsia="Century Gothic" w:cs="Times New Roman"/>
                <w:color w:val="2D659A"/>
                <w:sz w:val="20"/>
              </w:rPr>
              <w:t>Agreed.</w:t>
            </w:r>
          </w:p>
          <w:p w14:paraId="6C5D8FC8" w14:textId="77777777" w:rsidR="00E57599" w:rsidRPr="00C95C01" w:rsidRDefault="00E57599" w:rsidP="009F653F">
            <w:pPr>
              <w:jc w:val="both"/>
              <w:rPr>
                <w:rFonts w:eastAsia="Century Gothic" w:cs="Times New Roman"/>
                <w:color w:val="2D659A"/>
                <w:sz w:val="20"/>
              </w:rPr>
            </w:pPr>
          </w:p>
        </w:tc>
      </w:tr>
      <w:tr w:rsidR="00E57599" w:rsidRPr="00C95C01" w14:paraId="53A1173F"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30FEA6FD"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g) transactions that are settled by a CSD, and transactions that are cleared; </w:t>
            </w:r>
            <w:r w:rsidRPr="00C95C01">
              <w:rPr>
                <w:rFonts w:eastAsia="Century Gothic" w:cs="Times New Roman"/>
                <w:strike/>
                <w:color w:val="2D659A"/>
                <w:sz w:val="20"/>
              </w:rPr>
              <w:t>however, if transactions are netted outside a CSD or a CCP and it is only the netted part that is sent to the CSD or the CCP, then the part of the transactions not sent to the CSD or the CCP should be reported;</w:t>
            </w:r>
          </w:p>
        </w:tc>
        <w:tc>
          <w:tcPr>
            <w:tcW w:w="5270" w:type="dxa"/>
          </w:tcPr>
          <w:p w14:paraId="3458F44E" w14:textId="77777777" w:rsidR="00E57599" w:rsidRPr="00C95C01" w:rsidRDefault="00E57599" w:rsidP="009F653F">
            <w:pPr>
              <w:jc w:val="both"/>
              <w:rPr>
                <w:rFonts w:eastAsia="Century Gothic" w:cs="Times New Roman"/>
                <w:color w:val="2D659A"/>
                <w:sz w:val="20"/>
              </w:rPr>
            </w:pPr>
            <w:r>
              <w:rPr>
                <w:rFonts w:eastAsia="Century Gothic" w:cs="Times New Roman"/>
                <w:color w:val="2D659A"/>
                <w:sz w:val="20"/>
              </w:rPr>
              <w:t>AFTI</w:t>
            </w:r>
            <w:r w:rsidRPr="00C95C01">
              <w:rPr>
                <w:rFonts w:eastAsia="Century Gothic" w:cs="Times New Roman"/>
                <w:color w:val="2D659A"/>
                <w:sz w:val="20"/>
              </w:rPr>
              <w:t xml:space="preserve"> believes the half-sentence starting with “however” should be deleted. See detailed arguments in para 11 e) above.</w:t>
            </w:r>
          </w:p>
        </w:tc>
      </w:tr>
      <w:tr w:rsidR="00E57599" w:rsidRPr="00C95C01" w14:paraId="1E456C6F" w14:textId="77777777" w:rsidTr="009F653F">
        <w:tc>
          <w:tcPr>
            <w:tcW w:w="3746" w:type="dxa"/>
          </w:tcPr>
          <w:p w14:paraId="6605AD97"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h) security financial collateral arrangements as defined in point (c) of Article 2(1) of Directive 2002/47/EC, as long as there is no transfer of securities between accounts;</w:t>
            </w:r>
          </w:p>
        </w:tc>
        <w:tc>
          <w:tcPr>
            <w:tcW w:w="5270" w:type="dxa"/>
          </w:tcPr>
          <w:p w14:paraId="02E174AB"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Proposed deletion as transactions to be reported are listed in para 11 b) and c) above (including requirements as commented).</w:t>
            </w:r>
          </w:p>
        </w:tc>
      </w:tr>
      <w:tr w:rsidR="00E57599" w:rsidRPr="00C95C01" w14:paraId="449D2436" w14:textId="77777777" w:rsidTr="009F653F">
        <w:trPr>
          <w:cnfStyle w:val="000000100000" w:firstRow="0" w:lastRow="0" w:firstColumn="0" w:lastColumn="0" w:oddVBand="0" w:evenVBand="0" w:oddHBand="1" w:evenHBand="0" w:firstRowFirstColumn="0" w:firstRowLastColumn="0" w:lastRowFirstColumn="0" w:lastRowLastColumn="0"/>
        </w:trPr>
        <w:tc>
          <w:tcPr>
            <w:tcW w:w="3746" w:type="dxa"/>
          </w:tcPr>
          <w:p w14:paraId="685DAD86" w14:textId="77777777" w:rsidR="00E57599" w:rsidRPr="00C95C01" w:rsidRDefault="00E57599" w:rsidP="009F653F">
            <w:pPr>
              <w:jc w:val="both"/>
              <w:rPr>
                <w:rFonts w:eastAsia="Century Gothic" w:cs="Times New Roman"/>
                <w:color w:val="2D659A"/>
                <w:sz w:val="20"/>
              </w:rPr>
            </w:pPr>
            <w:proofErr w:type="spellStart"/>
            <w:r w:rsidRPr="00C95C01">
              <w:rPr>
                <w:rFonts w:eastAsia="Century Gothic" w:cs="Times New Roman"/>
                <w:color w:val="2D659A"/>
                <w:sz w:val="20"/>
              </w:rPr>
              <w:t>i</w:t>
            </w:r>
            <w:proofErr w:type="spellEnd"/>
            <w:r w:rsidRPr="00C95C01">
              <w:rPr>
                <w:rFonts w:eastAsia="Century Gothic" w:cs="Times New Roman"/>
                <w:color w:val="2D659A"/>
                <w:sz w:val="20"/>
              </w:rPr>
              <w:t>) alignments of book-entry positions to reflect the settlement of instructions by CSDs or other entities in the holding chain of securities (e.g. in case of a transfer of securities between accounts opened with the CSD, mirroring/reflecting the transfer in the books of a CSD’s participants).</w:t>
            </w:r>
          </w:p>
        </w:tc>
        <w:tc>
          <w:tcPr>
            <w:tcW w:w="5270" w:type="dxa"/>
          </w:tcPr>
          <w:p w14:paraId="6CD6DE4B"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rPr>
              <w:t xml:space="preserve">In principle, </w:t>
            </w:r>
            <w:r>
              <w:rPr>
                <w:rFonts w:eastAsia="Century Gothic" w:cs="Times New Roman"/>
                <w:color w:val="2D659A"/>
                <w:sz w:val="20"/>
              </w:rPr>
              <w:t>AFTI</w:t>
            </w:r>
            <w:r w:rsidRPr="00C95C01">
              <w:rPr>
                <w:rFonts w:eastAsia="Century Gothic" w:cs="Times New Roman"/>
                <w:color w:val="2D659A"/>
                <w:sz w:val="20"/>
              </w:rPr>
              <w:t xml:space="preserve"> agrees with this exclusion. </w:t>
            </w:r>
          </w:p>
          <w:p w14:paraId="0A1AE3AD" w14:textId="77777777" w:rsidR="00E57599" w:rsidRPr="00C95C01" w:rsidRDefault="00E57599" w:rsidP="009F653F">
            <w:pPr>
              <w:spacing w:after="0"/>
              <w:jc w:val="both"/>
              <w:rPr>
                <w:rFonts w:eastAsia="Century Gothic" w:cs="Times New Roman"/>
                <w:color w:val="2D659A"/>
                <w:sz w:val="20"/>
              </w:rPr>
            </w:pPr>
            <w:r w:rsidRPr="00C95C01">
              <w:rPr>
                <w:rFonts w:eastAsia="Century Gothic" w:cs="Times New Roman"/>
                <w:color w:val="2D659A"/>
                <w:sz w:val="20"/>
              </w:rPr>
              <w:t>At the same time, we note that this exclusion is not sufficiently clear. This might need to be re-drafted to make sure it excludes common depository business.</w:t>
            </w:r>
          </w:p>
        </w:tc>
      </w:tr>
    </w:tbl>
    <w:p w14:paraId="5B830694" w14:textId="77777777" w:rsidR="00E57599" w:rsidRPr="00C95C01" w:rsidRDefault="00E57599" w:rsidP="00E57599">
      <w:pPr>
        <w:jc w:val="both"/>
        <w:rPr>
          <w:rFonts w:eastAsia="Century Gothic" w:cs="Times New Roman"/>
          <w:color w:val="2D659A"/>
          <w:sz w:val="20"/>
          <w:lang w:val="en-GB"/>
        </w:rPr>
      </w:pPr>
    </w:p>
    <w:p w14:paraId="4CA0493C"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b/>
          <w:color w:val="2D659A"/>
          <w:sz w:val="20"/>
          <w:lang w:val="en-GB"/>
        </w:rPr>
        <w:t>Concerning financial instruments</w:t>
      </w:r>
      <w:r w:rsidRPr="00C95C01">
        <w:rPr>
          <w:rFonts w:eastAsia="Century Gothic" w:cs="Times New Roman"/>
          <w:color w:val="2D659A"/>
          <w:sz w:val="20"/>
          <w:lang w:val="en-GB"/>
        </w:rPr>
        <w:t xml:space="preserve">, as a general rule, </w:t>
      </w:r>
      <w:r>
        <w:rPr>
          <w:rFonts w:eastAsia="Century Gothic" w:cs="Times New Roman"/>
          <w:color w:val="2D659A"/>
          <w:sz w:val="20"/>
          <w:lang w:val="en-GB"/>
        </w:rPr>
        <w:t>AFTI</w:t>
      </w:r>
      <w:r w:rsidRPr="00C95C01">
        <w:rPr>
          <w:rFonts w:eastAsia="Century Gothic" w:cs="Times New Roman"/>
          <w:color w:val="2D659A"/>
          <w:sz w:val="20"/>
          <w:lang w:val="en-GB"/>
        </w:rPr>
        <w:t xml:space="preserve"> believes that only those financial instruments can be subject to the reporting obligation which can be settled in a securities settlement system (SSS) of a CSD authorized under the CSDR and would have settled there if settlement were not internalized. Therefore, </w:t>
      </w:r>
      <w:r>
        <w:rPr>
          <w:rFonts w:eastAsia="Century Gothic" w:cs="Times New Roman"/>
          <w:color w:val="2D659A"/>
          <w:sz w:val="20"/>
          <w:lang w:val="en-GB"/>
        </w:rPr>
        <w:t>AFTI</w:t>
      </w:r>
      <w:r w:rsidRPr="00C95C01">
        <w:rPr>
          <w:rFonts w:eastAsia="Century Gothic" w:cs="Times New Roman"/>
          <w:color w:val="2D659A"/>
          <w:sz w:val="20"/>
          <w:lang w:val="en-GB"/>
        </w:rPr>
        <w:t xml:space="preserve"> suggests a two-step approach when assessing if a financial instrument falls within the scope of Art. 9 CSDR and Art. 2 of Regulation (EU) 2017/391. </w:t>
      </w:r>
    </w:p>
    <w:p w14:paraId="3C266B19" w14:textId="77777777" w:rsidR="00E57599" w:rsidRPr="00C95C01" w:rsidRDefault="00E57599" w:rsidP="00E57599">
      <w:pPr>
        <w:spacing w:after="0"/>
        <w:jc w:val="both"/>
        <w:rPr>
          <w:rFonts w:eastAsia="Century Gothic" w:cs="Times New Roman"/>
          <w:color w:val="2D659A"/>
          <w:sz w:val="20"/>
          <w:lang w:val="en-GB"/>
        </w:rPr>
      </w:pPr>
    </w:p>
    <w:p w14:paraId="28E771EE"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(1) The type of financial instrument needs to be assessed. A financial instrument which cannot be settled through a SSS cannot be subject to settlement internalisation, either. No securities settlement instruction could be generated. Consequently, no reporting exists in relation to such financial instrument. We therefore agree with para 14 of the draft guidelines.</w:t>
      </w:r>
    </w:p>
    <w:p w14:paraId="520A74C0"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lastRenderedPageBreak/>
        <w:t>Some financial instruments, however, can be settled through a SSS in some markets whereas in other markets they cannot be settled through a SSS. Furthermore, non-EU securities which could generally be settled through a SSS are typically settled through a SSS by a CSD not authorized under the CSDR. In order to determine if such financial instruments could be subject to an internalised settlement and thus fall under the reporting obligation pursuant to Art. 9 CSDR, a further assessment should take place.</w:t>
      </w:r>
    </w:p>
    <w:p w14:paraId="762DD9EA" w14:textId="77777777" w:rsidR="00E57599" w:rsidRPr="00C95C01" w:rsidRDefault="00E57599" w:rsidP="00E57599">
      <w:pPr>
        <w:spacing w:after="0"/>
        <w:jc w:val="both"/>
        <w:rPr>
          <w:rFonts w:eastAsia="Century Gothic" w:cs="Times New Roman"/>
          <w:color w:val="2D659A"/>
          <w:sz w:val="20"/>
          <w:lang w:val="en-GB"/>
        </w:rPr>
      </w:pPr>
    </w:p>
    <w:p w14:paraId="580DE2FD"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(2) The intended place of settlement should be determined. Typically, a securities settlement instruction contains the information of the intended place of settlement in the so called PSET field. This specific field in a settlement instruction determines place of the CSD where settlement is supposed to happen and where settlement would have occurred had the settlement not been internalised. As settlement instruction can only be generated for financial instruments that can be settled through a SSS, such instruction would also indicate in the PSET the CSD in which a settlement of the financial instrument in question could take place.</w:t>
      </w:r>
    </w:p>
    <w:p w14:paraId="27C9DCDA" w14:textId="77777777" w:rsidR="00E57599" w:rsidRPr="00C95C01" w:rsidRDefault="00E57599" w:rsidP="00E57599">
      <w:pPr>
        <w:spacing w:after="0"/>
        <w:jc w:val="both"/>
        <w:rPr>
          <w:rFonts w:eastAsia="Century Gothic" w:cs="Times New Roman"/>
          <w:b/>
          <w:color w:val="2D659A"/>
          <w:sz w:val="20"/>
          <w:lang w:val="en-GB"/>
        </w:rPr>
      </w:pPr>
    </w:p>
    <w:p w14:paraId="062A61FA" w14:textId="77777777" w:rsidR="00E57599" w:rsidRPr="00C95C01" w:rsidRDefault="00E57599" w:rsidP="00E57599">
      <w:pPr>
        <w:spacing w:after="0"/>
        <w:jc w:val="both"/>
        <w:rPr>
          <w:rFonts w:eastAsia="Century Gothic" w:cs="Times New Roman"/>
          <w:b/>
          <w:color w:val="2D659A"/>
          <w:sz w:val="20"/>
          <w:lang w:val="en-GB"/>
        </w:rPr>
      </w:pPr>
      <w:r>
        <w:rPr>
          <w:rFonts w:eastAsia="Century Gothic" w:cs="Times New Roman"/>
          <w:b/>
          <w:color w:val="2D659A"/>
          <w:sz w:val="20"/>
          <w:lang w:val="en-GB"/>
        </w:rPr>
        <w:t>AFTI</w:t>
      </w:r>
      <w:r w:rsidRPr="00980E45">
        <w:rPr>
          <w:rFonts w:eastAsia="Century Gothic" w:cs="Times New Roman"/>
          <w:b/>
          <w:color w:val="2D659A"/>
          <w:sz w:val="20"/>
          <w:lang w:val="en-GB"/>
        </w:rPr>
        <w:t xml:space="preserve"> suggests to limit the scope to financial instruments that would have settled in an SSS of an EU CSD authorized under the CSDR if the settlement had not been internalised. </w:t>
      </w:r>
      <w:r>
        <w:rPr>
          <w:rFonts w:eastAsia="Century Gothic" w:cs="Times New Roman"/>
          <w:b/>
          <w:color w:val="2D659A"/>
          <w:sz w:val="20"/>
          <w:lang w:val="en-GB"/>
        </w:rPr>
        <w:t>AFTI</w:t>
      </w:r>
      <w:r w:rsidRPr="00980E45">
        <w:rPr>
          <w:rFonts w:eastAsia="Century Gothic" w:cs="Times New Roman"/>
          <w:b/>
          <w:color w:val="2D659A"/>
          <w:sz w:val="20"/>
          <w:lang w:val="en-GB"/>
        </w:rPr>
        <w:t xml:space="preserve"> therefore suggests the following amendment to para 13 of the draft guidelines:</w:t>
      </w:r>
      <w:r w:rsidRPr="00C95C01">
        <w:rPr>
          <w:rFonts w:eastAsia="Century Gothic" w:cs="Times New Roman"/>
          <w:b/>
          <w:color w:val="2D659A"/>
          <w:sz w:val="20"/>
          <w:lang w:val="en-GB"/>
        </w:rPr>
        <w:t xml:space="preserve"> </w:t>
      </w:r>
    </w:p>
    <w:p w14:paraId="22FD71F0" w14:textId="77777777" w:rsidR="00E57599" w:rsidRPr="00C95C01" w:rsidRDefault="00E57599" w:rsidP="00E57599">
      <w:pPr>
        <w:spacing w:after="0"/>
        <w:jc w:val="both"/>
        <w:rPr>
          <w:rFonts w:eastAsia="Century Gothic" w:cs="Times New Roman"/>
          <w:color w:val="2D659A"/>
          <w:sz w:val="20"/>
          <w:lang w:val="en-GB"/>
        </w:rPr>
      </w:pPr>
    </w:p>
    <w:p w14:paraId="7008CDEA" w14:textId="77777777" w:rsidR="00E57599" w:rsidRPr="005E7799" w:rsidRDefault="00E57599" w:rsidP="00E57599">
      <w:pPr>
        <w:spacing w:after="0"/>
        <w:jc w:val="both"/>
        <w:rPr>
          <w:rFonts w:eastAsia="Century Gothic" w:cs="Times New Roman"/>
          <w:color w:val="2D659A"/>
          <w:sz w:val="20"/>
        </w:rPr>
      </w:pPr>
      <w:r w:rsidRPr="005E7799">
        <w:rPr>
          <w:rFonts w:eastAsia="Century Gothic" w:cs="Times New Roman"/>
          <w:color w:val="2D659A"/>
          <w:sz w:val="20"/>
        </w:rPr>
        <w:t xml:space="preserve">The following types of financial instruments should be considered in scope of </w:t>
      </w:r>
      <w:proofErr w:type="spellStart"/>
      <w:r w:rsidRPr="005E7799">
        <w:rPr>
          <w:rFonts w:eastAsia="Century Gothic" w:cs="Times New Roman"/>
          <w:color w:val="2D659A"/>
          <w:sz w:val="20"/>
        </w:rPr>
        <w:t>internalised</w:t>
      </w:r>
      <w:proofErr w:type="spellEnd"/>
      <w:r w:rsidRPr="005E7799">
        <w:rPr>
          <w:rFonts w:eastAsia="Century Gothic" w:cs="Times New Roman"/>
          <w:color w:val="2D659A"/>
          <w:sz w:val="20"/>
        </w:rPr>
        <w:t xml:space="preserve"> settlement reporting:</w:t>
      </w:r>
    </w:p>
    <w:p w14:paraId="1CD08006" w14:textId="77777777" w:rsidR="00E57599" w:rsidRPr="005E7799" w:rsidRDefault="00E57599" w:rsidP="00E57599">
      <w:pPr>
        <w:numPr>
          <w:ilvl w:val="0"/>
          <w:numId w:val="3"/>
        </w:numPr>
        <w:spacing w:after="0"/>
        <w:contextualSpacing/>
        <w:jc w:val="both"/>
        <w:rPr>
          <w:rFonts w:eastAsia="Century Gothic" w:cs="Times New Roman"/>
          <w:color w:val="2D659A"/>
          <w:sz w:val="20"/>
        </w:rPr>
      </w:pPr>
      <w:r w:rsidRPr="005E7799">
        <w:rPr>
          <w:rFonts w:eastAsia="Century Gothic" w:cs="Times New Roman"/>
          <w:color w:val="2D659A"/>
          <w:sz w:val="20"/>
        </w:rPr>
        <w:t xml:space="preserve">financial instruments that are initially recorded or centrally maintained in CSDs </w:t>
      </w:r>
      <w:proofErr w:type="spellStart"/>
      <w:r w:rsidRPr="005E7799">
        <w:rPr>
          <w:rFonts w:eastAsia="Century Gothic" w:cs="Times New Roman"/>
          <w:color w:val="2D659A"/>
          <w:sz w:val="20"/>
        </w:rPr>
        <w:t>authorised</w:t>
      </w:r>
      <w:proofErr w:type="spellEnd"/>
      <w:r w:rsidRPr="005E7799">
        <w:rPr>
          <w:rFonts w:eastAsia="Century Gothic" w:cs="Times New Roman"/>
          <w:color w:val="2D659A"/>
          <w:sz w:val="20"/>
        </w:rPr>
        <w:t xml:space="preserve"> in the EU</w:t>
      </w:r>
      <w:r w:rsidRPr="005E7799">
        <w:rPr>
          <w:rFonts w:eastAsia="Century Gothic" w:cs="Times New Roman"/>
          <w:b/>
          <w:color w:val="2D659A"/>
          <w:sz w:val="20"/>
          <w:u w:val="single"/>
        </w:rPr>
        <w:t xml:space="preserve"> and would have settled in a CSD authorized in the EU if no settlement </w:t>
      </w:r>
      <w:proofErr w:type="spellStart"/>
      <w:r w:rsidRPr="005E7799">
        <w:rPr>
          <w:rFonts w:eastAsia="Century Gothic" w:cs="Times New Roman"/>
          <w:b/>
          <w:color w:val="2D659A"/>
          <w:sz w:val="20"/>
          <w:u w:val="single"/>
        </w:rPr>
        <w:t>internalisation</w:t>
      </w:r>
      <w:proofErr w:type="spellEnd"/>
      <w:r w:rsidRPr="005E7799">
        <w:rPr>
          <w:rFonts w:eastAsia="Century Gothic" w:cs="Times New Roman"/>
          <w:b/>
          <w:color w:val="2D659A"/>
          <w:sz w:val="20"/>
          <w:u w:val="single"/>
        </w:rPr>
        <w:t xml:space="preserve"> had occurred</w:t>
      </w:r>
      <w:r w:rsidRPr="005E7799">
        <w:rPr>
          <w:rFonts w:eastAsia="Century Gothic" w:cs="Times New Roman"/>
          <w:color w:val="2D659A"/>
          <w:sz w:val="20"/>
        </w:rPr>
        <w:t>;</w:t>
      </w:r>
    </w:p>
    <w:p w14:paraId="05CC1CF5" w14:textId="77777777" w:rsidR="00E57599" w:rsidRPr="005E7799" w:rsidRDefault="00E57599" w:rsidP="00E57599">
      <w:pPr>
        <w:numPr>
          <w:ilvl w:val="0"/>
          <w:numId w:val="3"/>
        </w:numPr>
        <w:spacing w:after="0"/>
        <w:contextualSpacing/>
        <w:jc w:val="both"/>
        <w:rPr>
          <w:rFonts w:eastAsia="Century Gothic" w:cs="Times New Roman"/>
          <w:color w:val="2D659A"/>
          <w:sz w:val="20"/>
        </w:rPr>
      </w:pPr>
      <w:r w:rsidRPr="005E7799">
        <w:rPr>
          <w:rFonts w:eastAsia="Century Gothic" w:cs="Times New Roman"/>
          <w:color w:val="2D659A"/>
          <w:sz w:val="20"/>
        </w:rPr>
        <w:t xml:space="preserve">financial instruments initially recorded and/or centrally maintained outside of CSDs </w:t>
      </w:r>
      <w:proofErr w:type="spellStart"/>
      <w:r w:rsidRPr="005E7799">
        <w:rPr>
          <w:rFonts w:eastAsia="Century Gothic" w:cs="Times New Roman"/>
          <w:color w:val="2D659A"/>
          <w:sz w:val="20"/>
        </w:rPr>
        <w:t>authorised</w:t>
      </w:r>
      <w:proofErr w:type="spellEnd"/>
      <w:r w:rsidRPr="005E7799">
        <w:rPr>
          <w:rFonts w:eastAsia="Century Gothic" w:cs="Times New Roman"/>
          <w:color w:val="2D659A"/>
          <w:sz w:val="20"/>
        </w:rPr>
        <w:t xml:space="preserve"> in the EU but</w:t>
      </w:r>
      <w:r w:rsidRPr="005E7799">
        <w:rPr>
          <w:rFonts w:eastAsia="Century Gothic" w:cs="Times New Roman"/>
          <w:b/>
          <w:color w:val="2D659A"/>
          <w:sz w:val="20"/>
          <w:u w:val="single"/>
        </w:rPr>
        <w:t xml:space="preserve"> would have</w:t>
      </w:r>
      <w:r w:rsidRPr="005E7799">
        <w:rPr>
          <w:rFonts w:eastAsia="Century Gothic" w:cs="Times New Roman"/>
          <w:color w:val="2D659A"/>
          <w:sz w:val="20"/>
        </w:rPr>
        <w:t xml:space="preserve"> settled in an EU CSD</w:t>
      </w:r>
      <w:r w:rsidRPr="005E7799">
        <w:rPr>
          <w:rFonts w:eastAsia="Century Gothic" w:cs="Times New Roman"/>
          <w:b/>
          <w:color w:val="2D659A"/>
          <w:sz w:val="20"/>
          <w:u w:val="single"/>
        </w:rPr>
        <w:t xml:space="preserve"> if no settlement </w:t>
      </w:r>
      <w:proofErr w:type="spellStart"/>
      <w:r w:rsidRPr="005E7799">
        <w:rPr>
          <w:rFonts w:eastAsia="Century Gothic" w:cs="Times New Roman"/>
          <w:b/>
          <w:color w:val="2D659A"/>
          <w:sz w:val="20"/>
          <w:u w:val="single"/>
        </w:rPr>
        <w:t>internalisation</w:t>
      </w:r>
      <w:proofErr w:type="spellEnd"/>
      <w:r w:rsidRPr="005E7799">
        <w:rPr>
          <w:rFonts w:eastAsia="Century Gothic" w:cs="Times New Roman"/>
          <w:b/>
          <w:color w:val="2D659A"/>
          <w:sz w:val="20"/>
          <w:u w:val="single"/>
        </w:rPr>
        <w:t xml:space="preserve"> had occurred</w:t>
      </w:r>
      <w:r w:rsidRPr="005E7799">
        <w:rPr>
          <w:rFonts w:eastAsia="Century Gothic" w:cs="Times New Roman"/>
          <w:color w:val="2D659A"/>
          <w:sz w:val="20"/>
        </w:rPr>
        <w:t>;</w:t>
      </w:r>
    </w:p>
    <w:p w14:paraId="027F8E04" w14:textId="77777777" w:rsidR="00E57599" w:rsidRPr="00C95C01" w:rsidRDefault="00E57599" w:rsidP="00E57599">
      <w:pPr>
        <w:spacing w:after="0"/>
        <w:jc w:val="both"/>
        <w:rPr>
          <w:rFonts w:eastAsia="Century Gothic" w:cs="Times New Roman"/>
          <w:color w:val="2D659A"/>
          <w:sz w:val="20"/>
        </w:rPr>
      </w:pPr>
    </w:p>
    <w:p w14:paraId="7277ECF7" w14:textId="77777777" w:rsidR="00E57599" w:rsidRPr="00C95C01" w:rsidRDefault="00E57599" w:rsidP="00E57599">
      <w:pPr>
        <w:spacing w:after="0"/>
        <w:jc w:val="both"/>
        <w:rPr>
          <w:rFonts w:eastAsia="Century Gothic" w:cs="Times New Roman"/>
          <w:color w:val="2D659A"/>
          <w:sz w:val="20"/>
          <w:lang w:val="en-GB"/>
        </w:rPr>
      </w:pPr>
      <w:r w:rsidRPr="00C95C01">
        <w:rPr>
          <w:rFonts w:eastAsia="Century Gothic" w:cs="Times New Roman"/>
          <w:color w:val="2D659A"/>
          <w:sz w:val="20"/>
          <w:lang w:val="en-GB"/>
        </w:rPr>
        <w:t>This would clarify which categories of financial instruments fall within the scope of application. Please refer to the following (non-exhaustive) examples for explanation:</w:t>
      </w:r>
    </w:p>
    <w:p w14:paraId="7DCAC4CD" w14:textId="77777777" w:rsidR="00E57599" w:rsidRPr="00C95C01" w:rsidRDefault="00E57599" w:rsidP="00E57599">
      <w:pPr>
        <w:jc w:val="both"/>
        <w:rPr>
          <w:rFonts w:eastAsia="Century Gothic" w:cs="Times New Roman"/>
          <w:color w:val="2D659A"/>
          <w:sz w:val="20"/>
          <w:lang w:val="en-GB"/>
        </w:rPr>
      </w:pPr>
    </w:p>
    <w:tbl>
      <w:tblPr>
        <w:tblStyle w:val="TableGrid1"/>
        <w:tblW w:w="0" w:type="auto"/>
        <w:tblLook w:val="04A0" w:firstRow="1" w:lastRow="0" w:firstColumn="1" w:lastColumn="0" w:noHBand="0" w:noVBand="1"/>
      </w:tblPr>
      <w:tblGrid>
        <w:gridCol w:w="3377"/>
        <w:gridCol w:w="1710"/>
        <w:gridCol w:w="3929"/>
      </w:tblGrid>
      <w:tr w:rsidR="00E57599" w:rsidRPr="00C95C01" w14:paraId="5861C125" w14:textId="77777777" w:rsidTr="009F653F">
        <w:trPr>
          <w:cnfStyle w:val="100000000000" w:firstRow="1" w:lastRow="0" w:firstColumn="0" w:lastColumn="0" w:oddVBand="0" w:evenVBand="0" w:oddHBand="0" w:evenHBand="0" w:firstRowFirstColumn="0" w:firstRowLastColumn="0" w:lastRowFirstColumn="0" w:lastRowLastColumn="0"/>
        </w:trPr>
        <w:tc>
          <w:tcPr>
            <w:tcW w:w="3377" w:type="dxa"/>
            <w:shd w:val="clear" w:color="auto" w:fill="A0A0A0"/>
            <w:vAlign w:val="center"/>
          </w:tcPr>
          <w:p w14:paraId="66ECF42A"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Types of financial instruments</w:t>
            </w:r>
          </w:p>
        </w:tc>
        <w:tc>
          <w:tcPr>
            <w:tcW w:w="1710" w:type="dxa"/>
            <w:shd w:val="clear" w:color="auto" w:fill="A0A0A0"/>
            <w:vAlign w:val="center"/>
          </w:tcPr>
          <w:p w14:paraId="2B5FEDAA"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In/Out of scope</w:t>
            </w:r>
          </w:p>
        </w:tc>
        <w:tc>
          <w:tcPr>
            <w:tcW w:w="3929" w:type="dxa"/>
            <w:shd w:val="clear" w:color="auto" w:fill="A0A0A0"/>
            <w:vAlign w:val="center"/>
          </w:tcPr>
          <w:p w14:paraId="1A2D56A5"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Reasons</w:t>
            </w:r>
          </w:p>
        </w:tc>
      </w:tr>
      <w:tr w:rsidR="00E57599" w:rsidRPr="00C95C01" w14:paraId="411D4710" w14:textId="77777777" w:rsidTr="009F653F">
        <w:trPr>
          <w:cnfStyle w:val="000000100000" w:firstRow="0" w:lastRow="0" w:firstColumn="0" w:lastColumn="0" w:oddVBand="0" w:evenVBand="0" w:oddHBand="1" w:evenHBand="0" w:firstRowFirstColumn="0" w:firstRowLastColumn="0" w:lastRowFirstColumn="0" w:lastRowLastColumn="0"/>
        </w:trPr>
        <w:tc>
          <w:tcPr>
            <w:tcW w:w="3377" w:type="dxa"/>
          </w:tcPr>
          <w:p w14:paraId="393B940A"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Exchange Traded Derivatives / OTC Derivatives </w:t>
            </w:r>
          </w:p>
        </w:tc>
        <w:tc>
          <w:tcPr>
            <w:tcW w:w="1710" w:type="dxa"/>
          </w:tcPr>
          <w:p w14:paraId="3DAB172E"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Out </w:t>
            </w:r>
          </w:p>
        </w:tc>
        <w:tc>
          <w:tcPr>
            <w:tcW w:w="3929" w:type="dxa"/>
          </w:tcPr>
          <w:p w14:paraId="67A5077D"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Pure derivatives are contracts and thus not held in CSDs. No settlement instruction can be generated in relation to derivatives, so no EU-CSD could be found in PSET as no PSET exists. </w:t>
            </w:r>
          </w:p>
        </w:tc>
      </w:tr>
      <w:tr w:rsidR="00E57599" w:rsidRPr="00C95C01" w14:paraId="12892C17" w14:textId="77777777" w:rsidTr="009F653F">
        <w:tc>
          <w:tcPr>
            <w:tcW w:w="3377" w:type="dxa"/>
          </w:tcPr>
          <w:p w14:paraId="1B3C05EF"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Money market instruments </w:t>
            </w:r>
          </w:p>
        </w:tc>
        <w:tc>
          <w:tcPr>
            <w:tcW w:w="1710" w:type="dxa"/>
          </w:tcPr>
          <w:p w14:paraId="68BC627C"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In/Out </w:t>
            </w:r>
          </w:p>
        </w:tc>
        <w:tc>
          <w:tcPr>
            <w:tcW w:w="3929" w:type="dxa"/>
          </w:tcPr>
          <w:p w14:paraId="1E1B25E3" w14:textId="77777777" w:rsidR="00E57599" w:rsidRPr="00C95C01" w:rsidRDefault="00E57599" w:rsidP="009F653F">
            <w:pPr>
              <w:jc w:val="both"/>
              <w:rPr>
                <w:rFonts w:eastAsia="Century Gothic" w:cs="Times New Roman"/>
                <w:color w:val="2D659A"/>
                <w:sz w:val="20"/>
              </w:rPr>
            </w:pPr>
            <w:r w:rsidRPr="00C95C01">
              <w:rPr>
                <w:rFonts w:eastAsia="Century Gothic" w:cs="Times New Roman"/>
                <w:color w:val="2D659A"/>
                <w:sz w:val="20"/>
                <w:szCs w:val="20"/>
              </w:rPr>
              <w:t xml:space="preserve">MMIs or certificates of deposit can both be issued and held in a CSD or not. The PSET rule could determine whether an instruction is in scope of the reporting obligation </w:t>
            </w:r>
          </w:p>
        </w:tc>
      </w:tr>
      <w:tr w:rsidR="00E57599" w:rsidRPr="00C95C01" w14:paraId="36CB081A" w14:textId="77777777" w:rsidTr="009F653F">
        <w:trPr>
          <w:cnfStyle w:val="000000100000" w:firstRow="0" w:lastRow="0" w:firstColumn="0" w:lastColumn="0" w:oddVBand="0" w:evenVBand="0" w:oddHBand="1" w:evenHBand="0" w:firstRowFirstColumn="0" w:firstRowLastColumn="0" w:lastRowFirstColumn="0" w:lastRowLastColumn="0"/>
        </w:trPr>
        <w:tc>
          <w:tcPr>
            <w:tcW w:w="3377" w:type="dxa"/>
          </w:tcPr>
          <w:p w14:paraId="336D31CB"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Allowances </w:t>
            </w:r>
          </w:p>
        </w:tc>
        <w:tc>
          <w:tcPr>
            <w:tcW w:w="1710" w:type="dxa"/>
          </w:tcPr>
          <w:p w14:paraId="7F1BFE80"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In/Out </w:t>
            </w:r>
          </w:p>
        </w:tc>
        <w:tc>
          <w:tcPr>
            <w:tcW w:w="3929" w:type="dxa"/>
          </w:tcPr>
          <w:p w14:paraId="6FFF78D2"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As with MMIs, allowances can be CSD eligible or not, depending, for instance on the market. The PSET rule could determine whether an instruction is in scope of the reporting obligation. </w:t>
            </w:r>
          </w:p>
        </w:tc>
      </w:tr>
      <w:tr w:rsidR="00E57599" w:rsidRPr="00C95C01" w14:paraId="4B6D8E71" w14:textId="77777777" w:rsidTr="009F653F">
        <w:tc>
          <w:tcPr>
            <w:tcW w:w="3377" w:type="dxa"/>
          </w:tcPr>
          <w:p w14:paraId="26029202"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lastRenderedPageBreak/>
              <w:t xml:space="preserve">Derivative securities (e.g. warrants) </w:t>
            </w:r>
          </w:p>
        </w:tc>
        <w:tc>
          <w:tcPr>
            <w:tcW w:w="1710" w:type="dxa"/>
          </w:tcPr>
          <w:p w14:paraId="4BA811EB"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Generally in, but exceptions can apply </w:t>
            </w:r>
          </w:p>
        </w:tc>
        <w:tc>
          <w:tcPr>
            <w:tcW w:w="3929" w:type="dxa"/>
          </w:tcPr>
          <w:p w14:paraId="09C4513F"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PSET approach: if a settlement instruction contains a PSET of an EU CSD, then it falls within the scope of the reporting obligation </w:t>
            </w:r>
          </w:p>
        </w:tc>
      </w:tr>
      <w:tr w:rsidR="00E57599" w:rsidRPr="00C95C01" w14:paraId="59E3974E" w14:textId="77777777" w:rsidTr="009F653F">
        <w:trPr>
          <w:cnfStyle w:val="000000100000" w:firstRow="0" w:lastRow="0" w:firstColumn="0" w:lastColumn="0" w:oddVBand="0" w:evenVBand="0" w:oddHBand="1" w:evenHBand="0" w:firstRowFirstColumn="0" w:firstRowLastColumn="0" w:lastRowFirstColumn="0" w:lastRowLastColumn="0"/>
        </w:trPr>
        <w:tc>
          <w:tcPr>
            <w:tcW w:w="3377" w:type="dxa"/>
          </w:tcPr>
          <w:p w14:paraId="44FE5380"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EU securities (e.g. shares, bonds) </w:t>
            </w:r>
          </w:p>
        </w:tc>
        <w:tc>
          <w:tcPr>
            <w:tcW w:w="1710" w:type="dxa"/>
          </w:tcPr>
          <w:p w14:paraId="6BD63628"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In </w:t>
            </w:r>
          </w:p>
        </w:tc>
        <w:tc>
          <w:tcPr>
            <w:tcW w:w="3929" w:type="dxa"/>
          </w:tcPr>
          <w:p w14:paraId="13E88283"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 xml:space="preserve">PSET approach: settlement instruction contains a PSET of an EU CSD </w:t>
            </w:r>
          </w:p>
        </w:tc>
      </w:tr>
      <w:tr w:rsidR="00E57599" w:rsidRPr="00C95C01" w14:paraId="6D687D2A" w14:textId="77777777" w:rsidTr="009F653F">
        <w:tc>
          <w:tcPr>
            <w:tcW w:w="3377" w:type="dxa"/>
          </w:tcPr>
          <w:p w14:paraId="0B3082A0"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Non-EU securities</w:t>
            </w:r>
          </w:p>
        </w:tc>
        <w:tc>
          <w:tcPr>
            <w:tcW w:w="1710" w:type="dxa"/>
          </w:tcPr>
          <w:p w14:paraId="5F0FEE31"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Generally in, but exceptions apply</w:t>
            </w:r>
          </w:p>
        </w:tc>
        <w:tc>
          <w:tcPr>
            <w:tcW w:w="3929" w:type="dxa"/>
          </w:tcPr>
          <w:p w14:paraId="0131C53E" w14:textId="77777777" w:rsidR="00E57599" w:rsidRPr="00C95C01" w:rsidRDefault="00E57599" w:rsidP="009F653F">
            <w:pPr>
              <w:jc w:val="both"/>
              <w:rPr>
                <w:rFonts w:eastAsia="Century Gothic" w:cs="Times New Roman"/>
                <w:color w:val="2D659A"/>
                <w:sz w:val="20"/>
                <w:szCs w:val="20"/>
              </w:rPr>
            </w:pPr>
            <w:r w:rsidRPr="00C95C01">
              <w:rPr>
                <w:rFonts w:eastAsia="Century Gothic" w:cs="Times New Roman"/>
                <w:color w:val="2D659A"/>
                <w:sz w:val="20"/>
                <w:szCs w:val="20"/>
              </w:rPr>
              <w:t>PSET approach: if a settlement instruction contains a PSET of an EU CSD, then it falls within the scope of the reporting obligation</w:t>
            </w:r>
          </w:p>
        </w:tc>
      </w:tr>
    </w:tbl>
    <w:p w14:paraId="5C96A373" w14:textId="77777777" w:rsidR="00E57599" w:rsidRPr="00C95C01" w:rsidRDefault="00E57599" w:rsidP="00E57599">
      <w:pPr>
        <w:jc w:val="both"/>
        <w:rPr>
          <w:rFonts w:eastAsia="Century Gothic" w:cs="Times New Roman"/>
          <w:color w:val="2D659A"/>
          <w:sz w:val="20"/>
          <w:lang w:val="en-GB"/>
        </w:rPr>
      </w:pPr>
    </w:p>
    <w:p w14:paraId="1A096D70"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Since Art. 1 para 1 of Regulation (EU) 2017/391 defines that ‘internalised settlement instruction’ means “an instruction by a client of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to place at the disposal of the recipient an amount of money or to transfer the title to, or interest in, a security or securities by means of a book entry on a register, or otherwise, which is settled by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in its own books and not through a securities settlement system”; settlement internalisation can only take place with respect to financial instruments that can be settled through a securities settlement system. Such systems can, pursuant to Art. 18 para 2 CSDR, only be operated by authorised CSDs under the CSDR. Consequently, the settlement obligation exists for financial instruments which would have settled by an EU-CSD if no settlement internalisation had taken place along the custody chain. </w:t>
      </w:r>
    </w:p>
    <w:p w14:paraId="76B8226C" w14:textId="77777777" w:rsidR="00E57599" w:rsidRPr="00C95C01" w:rsidRDefault="00E57599" w:rsidP="00E57599">
      <w:pPr>
        <w:jc w:val="both"/>
        <w:rPr>
          <w:rFonts w:eastAsia="Century Gothic" w:cs="Times New Roman"/>
          <w:color w:val="2D659A"/>
          <w:sz w:val="20"/>
          <w:lang w:val="en-GB"/>
        </w:rPr>
      </w:pPr>
    </w:p>
    <w:p w14:paraId="110D870B" w14:textId="77777777" w:rsidR="00E57599" w:rsidRPr="00C95C01" w:rsidRDefault="00E57599" w:rsidP="00E57599">
      <w:pPr>
        <w:jc w:val="both"/>
        <w:rPr>
          <w:rFonts w:eastAsia="Century Gothic" w:cs="Times New Roman"/>
          <w:color w:val="2D659A"/>
          <w:sz w:val="20"/>
          <w:lang w:val="en-GB"/>
        </w:rPr>
      </w:pPr>
    </w:p>
    <w:p w14:paraId="4F026392"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t>Q2: Do you have any comments or suggestions regarding the entities responsible for reporting to competent authorities?</w:t>
      </w:r>
    </w:p>
    <w:p w14:paraId="29B2C92F" w14:textId="77777777" w:rsidR="00E57599" w:rsidRPr="00C95C01" w:rsidRDefault="00E57599" w:rsidP="00E57599">
      <w:pPr>
        <w:jc w:val="both"/>
        <w:rPr>
          <w:rFonts w:eastAsia="Century Gothic" w:cs="Times New Roman"/>
          <w:color w:val="2D659A"/>
          <w:sz w:val="20"/>
        </w:rPr>
      </w:pPr>
      <w:r>
        <w:rPr>
          <w:rFonts w:eastAsia="Century Gothic" w:cs="Times New Roman"/>
          <w:color w:val="2D659A"/>
          <w:sz w:val="20"/>
        </w:rPr>
        <w:t>AFTI</w:t>
      </w:r>
      <w:r w:rsidRPr="00C95C01">
        <w:rPr>
          <w:rFonts w:eastAsia="Century Gothic" w:cs="Times New Roman"/>
          <w:color w:val="2D659A"/>
          <w:sz w:val="20"/>
        </w:rPr>
        <w:t xml:space="preserve"> welcomes ESMA’s clarification </w:t>
      </w:r>
    </w:p>
    <w:p w14:paraId="4ADCCE30" w14:textId="77777777" w:rsidR="00E57599" w:rsidRDefault="00E57599" w:rsidP="00E57599">
      <w:pPr>
        <w:jc w:val="both"/>
        <w:rPr>
          <w:rFonts w:eastAsia="Century Gothic" w:cs="Times New Roman"/>
          <w:color w:val="2D659A"/>
          <w:sz w:val="20"/>
        </w:rPr>
      </w:pPr>
      <w:r>
        <w:rPr>
          <w:rFonts w:eastAsia="Century Gothic" w:cs="Times New Roman"/>
          <w:color w:val="2D659A"/>
          <w:sz w:val="20"/>
          <w:lang w:val="en-GB"/>
        </w:rPr>
        <w:t>AFTI</w:t>
      </w:r>
      <w:r w:rsidRPr="00C95C01">
        <w:rPr>
          <w:rFonts w:eastAsia="Century Gothic" w:cs="Times New Roman"/>
          <w:color w:val="2D659A"/>
          <w:sz w:val="20"/>
          <w:lang w:val="en-GB"/>
        </w:rPr>
        <w:t xml:space="preserve"> disagrees, however, with the example in para. 15 of the draft guidelines.</w:t>
      </w:r>
      <w:r w:rsidRPr="00C95C01">
        <w:rPr>
          <w:rFonts w:eastAsia="Century Gothic" w:cs="Times New Roman"/>
          <w:color w:val="2D659A"/>
          <w:sz w:val="20"/>
        </w:rPr>
        <w:t xml:space="preserve"> The term </w:t>
      </w:r>
      <w:r w:rsidRPr="005E7799">
        <w:rPr>
          <w:rFonts w:eastAsia="Century Gothic" w:cs="Times New Roman"/>
          <w:color w:val="2D659A"/>
          <w:sz w:val="20"/>
        </w:rPr>
        <w:t>“technical sub-account” is unclear.</w:t>
      </w:r>
      <w:r w:rsidRPr="00C95C01">
        <w:rPr>
          <w:rFonts w:eastAsia="Century Gothic" w:cs="Times New Roman"/>
          <w:color w:val="2D659A"/>
          <w:sz w:val="20"/>
        </w:rPr>
        <w:t xml:space="preserve"> Such technical sub-accounts do not exist in all Member States. </w:t>
      </w:r>
      <w:r>
        <w:rPr>
          <w:rFonts w:eastAsia="Century Gothic" w:cs="Times New Roman"/>
          <w:color w:val="2D659A"/>
          <w:sz w:val="20"/>
        </w:rPr>
        <w:t>AFTI</w:t>
      </w:r>
      <w:r w:rsidRPr="00C95C01">
        <w:rPr>
          <w:rFonts w:eastAsia="Century Gothic" w:cs="Times New Roman"/>
          <w:color w:val="2D659A"/>
          <w:sz w:val="20"/>
        </w:rPr>
        <w:t xml:space="preserve"> believes that it is not necessary to describe settlement </w:t>
      </w:r>
      <w:proofErr w:type="spellStart"/>
      <w:r w:rsidRPr="00C95C01">
        <w:rPr>
          <w:rFonts w:eastAsia="Century Gothic" w:cs="Times New Roman"/>
          <w:color w:val="2D659A"/>
          <w:sz w:val="20"/>
        </w:rPr>
        <w:t>internalisation</w:t>
      </w:r>
      <w:proofErr w:type="spellEnd"/>
      <w:r w:rsidRPr="00C95C01">
        <w:rPr>
          <w:rFonts w:eastAsia="Century Gothic" w:cs="Times New Roman"/>
          <w:color w:val="2D659A"/>
          <w:sz w:val="20"/>
        </w:rPr>
        <w:t xml:space="preserve"> by using this term and, moreover, that the use of such term will create uncertainty: Either B holds securities in an Omnibus Account for A and A holds these securities in accounts for its clients (e.g. X and Y). In this case, the latter accounts are not „technical sub-accounts</w:t>
      </w:r>
      <w:proofErr w:type="gramStart"/>
      <w:r w:rsidRPr="00C95C01">
        <w:rPr>
          <w:rFonts w:eastAsia="Century Gothic" w:cs="Times New Roman"/>
          <w:color w:val="2D659A"/>
          <w:sz w:val="20"/>
        </w:rPr>
        <w:t>“ and</w:t>
      </w:r>
      <w:proofErr w:type="gramEnd"/>
      <w:r w:rsidRPr="00C95C01">
        <w:rPr>
          <w:rFonts w:eastAsia="Century Gothic" w:cs="Times New Roman"/>
          <w:color w:val="2D659A"/>
          <w:sz w:val="20"/>
        </w:rPr>
        <w:t xml:space="preserve"> B is not aware of the securities movements between the accounts of X and Y in A’s books. Or B holds the securities in two sub-accounts (one sub-account for A regarding its client X and another sub-account for A regarding its client Y). In this case, the securities do not belong to the same omnibus account of the bank A and A cannot internalize the settlement between these accounts. </w:t>
      </w:r>
    </w:p>
    <w:p w14:paraId="13DEF789" w14:textId="77777777" w:rsidR="00E57599" w:rsidRPr="00C95C01" w:rsidRDefault="00E57599" w:rsidP="00E57599">
      <w:pPr>
        <w:jc w:val="both"/>
        <w:rPr>
          <w:rFonts w:eastAsia="Century Gothic" w:cs="Times New Roman"/>
          <w:color w:val="2D659A"/>
          <w:sz w:val="20"/>
        </w:rPr>
      </w:pPr>
      <w:r w:rsidRPr="00EA7E28">
        <w:rPr>
          <w:rFonts w:eastAsia="Century Gothic" w:cs="Times New Roman"/>
          <w:color w:val="2D659A"/>
          <w:sz w:val="20"/>
        </w:rPr>
        <w:t xml:space="preserve">Should the example given in para. 15 of the draft guidelines refer to a certain situation in certain Member States, it should be clarified that it describes a particular problem in the context of settlement </w:t>
      </w:r>
      <w:proofErr w:type="spellStart"/>
      <w:r w:rsidRPr="00EA7E28">
        <w:rPr>
          <w:rFonts w:eastAsia="Century Gothic" w:cs="Times New Roman"/>
          <w:color w:val="2D659A"/>
          <w:sz w:val="20"/>
        </w:rPr>
        <w:t>internalisation</w:t>
      </w:r>
      <w:proofErr w:type="spellEnd"/>
      <w:r w:rsidRPr="00EA7E28">
        <w:rPr>
          <w:rFonts w:eastAsia="Century Gothic" w:cs="Times New Roman"/>
          <w:color w:val="2D659A"/>
          <w:sz w:val="20"/>
        </w:rPr>
        <w:t>.</w:t>
      </w:r>
      <w:r>
        <w:rPr>
          <w:rFonts w:eastAsia="Century Gothic" w:cs="Times New Roman"/>
          <w:color w:val="2D659A"/>
          <w:sz w:val="20"/>
        </w:rPr>
        <w:t xml:space="preserve"> </w:t>
      </w:r>
      <w:r w:rsidRPr="00C95C01">
        <w:rPr>
          <w:rFonts w:eastAsia="Century Gothic" w:cs="Times New Roman"/>
          <w:color w:val="2D659A"/>
          <w:sz w:val="20"/>
        </w:rPr>
        <w:t xml:space="preserve">Therefore, </w:t>
      </w:r>
      <w:r>
        <w:rPr>
          <w:rFonts w:eastAsia="Century Gothic" w:cs="Times New Roman"/>
          <w:color w:val="2D659A"/>
          <w:sz w:val="20"/>
        </w:rPr>
        <w:t>AFTI</w:t>
      </w:r>
      <w:r w:rsidRPr="00C95C01">
        <w:rPr>
          <w:rFonts w:eastAsia="Century Gothic" w:cs="Times New Roman"/>
          <w:color w:val="2D659A"/>
          <w:sz w:val="20"/>
        </w:rPr>
        <w:t xml:space="preserve"> suggests reviewing this example.</w:t>
      </w:r>
    </w:p>
    <w:p w14:paraId="6BCAEC0D" w14:textId="77777777" w:rsidR="00E57599" w:rsidRPr="00EA7E28" w:rsidRDefault="00E57599" w:rsidP="00E57599">
      <w:pPr>
        <w:jc w:val="both"/>
        <w:rPr>
          <w:rFonts w:eastAsia="Century Gothic" w:cs="Times New Roman"/>
          <w:color w:val="2D659A"/>
          <w:sz w:val="20"/>
        </w:rPr>
      </w:pPr>
      <w:r w:rsidRPr="00EA7E28">
        <w:rPr>
          <w:rFonts w:eastAsia="Century Gothic" w:cs="Times New Roman"/>
          <w:color w:val="2D659A"/>
          <w:sz w:val="20"/>
        </w:rPr>
        <w:t>Please see our answer to question 1 with relation to the account holder/account provider issue i.e. the suggestion raised in the second part of paragraph 15 that the account holder (entity A) should report, and not the account provider (entity B). We believe that there should be a consistent rule that only account providers report.</w:t>
      </w:r>
    </w:p>
    <w:p w14:paraId="62CEB225" w14:textId="77777777" w:rsidR="00E57599" w:rsidRPr="00C95C01" w:rsidRDefault="00E57599" w:rsidP="00E57599">
      <w:pPr>
        <w:jc w:val="both"/>
        <w:rPr>
          <w:rFonts w:eastAsia="Century Gothic" w:cs="Times New Roman"/>
          <w:color w:val="2D659A"/>
          <w:sz w:val="20"/>
        </w:rPr>
      </w:pPr>
      <w:r w:rsidRPr="00EA7E28">
        <w:rPr>
          <w:rFonts w:eastAsia="Century Gothic" w:cs="Times New Roman"/>
          <w:color w:val="2D659A"/>
          <w:sz w:val="20"/>
        </w:rPr>
        <w:t>We also note that the draft Guidelines suggest in paragraphs 17 and 20 that there is no reporting obligation for branches (of EU entities) that are located outside of the EU. We support this interpretation. We believe that ESMA should add an explicit mention of this int</w:t>
      </w:r>
      <w:r>
        <w:rPr>
          <w:rFonts w:eastAsia="Century Gothic" w:cs="Times New Roman"/>
          <w:color w:val="2D659A"/>
          <w:sz w:val="20"/>
        </w:rPr>
        <w:t>erpretation in the Guidelines.</w:t>
      </w:r>
    </w:p>
    <w:p w14:paraId="2E95265C" w14:textId="77777777" w:rsidR="00E57599" w:rsidRPr="00C95C01" w:rsidRDefault="00E57599" w:rsidP="00E57599">
      <w:pPr>
        <w:jc w:val="both"/>
        <w:rPr>
          <w:rFonts w:eastAsia="Century Gothic" w:cs="Times New Roman"/>
          <w:color w:val="2D659A"/>
          <w:sz w:val="20"/>
        </w:rPr>
      </w:pPr>
    </w:p>
    <w:p w14:paraId="2AED66FF"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t>Q3: Do you have any comments or suggestions regarding the proposed data reporting parameters?</w:t>
      </w:r>
    </w:p>
    <w:p w14:paraId="70951ABA"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Regarding country codes and CSDs as stated in paragraph 21, </w:t>
      </w:r>
      <w:r>
        <w:rPr>
          <w:rFonts w:eastAsia="Century Gothic" w:cs="Times New Roman"/>
          <w:color w:val="2D659A"/>
          <w:sz w:val="20"/>
          <w:lang w:val="en-GB"/>
        </w:rPr>
        <w:t>AFTI</w:t>
      </w:r>
      <w:r w:rsidRPr="00C95C01">
        <w:rPr>
          <w:rFonts w:eastAsia="Century Gothic" w:cs="Times New Roman"/>
          <w:color w:val="2D659A"/>
          <w:sz w:val="20"/>
          <w:lang w:val="en-GB"/>
        </w:rPr>
        <w:t xml:space="preserve"> </w:t>
      </w:r>
      <w:r>
        <w:rPr>
          <w:rFonts w:eastAsia="Century Gothic" w:cs="Times New Roman"/>
          <w:color w:val="2D659A"/>
          <w:sz w:val="20"/>
          <w:lang w:val="en-GB"/>
        </w:rPr>
        <w:t xml:space="preserve">welcomes ESMA’s statement. </w:t>
      </w:r>
    </w:p>
    <w:p w14:paraId="232F4676" w14:textId="77777777" w:rsidR="00E57599" w:rsidRPr="00C95C01" w:rsidRDefault="00E57599" w:rsidP="00E57599">
      <w:pPr>
        <w:jc w:val="both"/>
        <w:rPr>
          <w:rFonts w:eastAsia="Century Gothic" w:cs="Times New Roman"/>
          <w:color w:val="2D659A"/>
          <w:sz w:val="20"/>
        </w:rPr>
      </w:pPr>
      <w:r w:rsidRPr="00C95C01">
        <w:rPr>
          <w:rFonts w:eastAsia="Century Gothic" w:cs="Times New Roman"/>
          <w:color w:val="2D659A"/>
          <w:sz w:val="20"/>
          <w:lang w:val="en-GB"/>
        </w:rPr>
        <w:t xml:space="preserve">Para 25 of section 4.3 of ESMA’s draft guidelines: </w:t>
      </w:r>
      <w:r w:rsidRPr="00C95C01">
        <w:rPr>
          <w:rFonts w:eastAsia="Century Gothic" w:cs="Times New Roman"/>
          <w:color w:val="2D659A"/>
          <w:sz w:val="20"/>
        </w:rPr>
        <w:t xml:space="preserve">According to Art. 1 para. 2 of the delegated regulation, „failed </w:t>
      </w:r>
      <w:proofErr w:type="spellStart"/>
      <w:r w:rsidRPr="00C95C01">
        <w:rPr>
          <w:rFonts w:eastAsia="Century Gothic" w:cs="Times New Roman"/>
          <w:color w:val="2D659A"/>
          <w:sz w:val="20"/>
        </w:rPr>
        <w:t>internalised</w:t>
      </w:r>
      <w:proofErr w:type="spellEnd"/>
      <w:r w:rsidRPr="00C95C01">
        <w:rPr>
          <w:rFonts w:eastAsia="Century Gothic" w:cs="Times New Roman"/>
          <w:color w:val="2D659A"/>
          <w:sz w:val="20"/>
        </w:rPr>
        <w:t xml:space="preserve"> settlement instruction” means non-occurrence of settlement […] of a securities transaction </w:t>
      </w:r>
      <w:r w:rsidRPr="00C95C01">
        <w:rPr>
          <w:rFonts w:eastAsia="Century Gothic" w:cs="Times New Roman"/>
          <w:b/>
          <w:color w:val="2D659A"/>
          <w:sz w:val="20"/>
        </w:rPr>
        <w:t>at the date agreed</w:t>
      </w:r>
      <w:r w:rsidRPr="00C95C01">
        <w:rPr>
          <w:rFonts w:eastAsia="Century Gothic" w:cs="Times New Roman"/>
          <w:color w:val="2D659A"/>
          <w:sz w:val="20"/>
        </w:rPr>
        <w:t xml:space="preserve"> by the parties concerned […]. For reporting purposes, a fail can only be counted once (namely at the intended settlement date) and not for each (other) day when the settlement instruction fails to settle. Although </w:t>
      </w:r>
      <w:r>
        <w:rPr>
          <w:rFonts w:eastAsia="Century Gothic" w:cs="Times New Roman"/>
          <w:color w:val="2D659A"/>
          <w:sz w:val="20"/>
        </w:rPr>
        <w:t>AFTI</w:t>
      </w:r>
      <w:r w:rsidRPr="00C95C01">
        <w:rPr>
          <w:rFonts w:eastAsia="Century Gothic" w:cs="Times New Roman"/>
          <w:color w:val="2D659A"/>
          <w:sz w:val="20"/>
        </w:rPr>
        <w:t xml:space="preserve"> agrees that the reporting of settlement instructions that have not settled could generally be possible and useful on a daily basis in a daily report or a transaction based report, </w:t>
      </w:r>
      <w:r>
        <w:rPr>
          <w:rFonts w:eastAsia="Century Gothic" w:cs="Times New Roman"/>
          <w:color w:val="2D659A"/>
          <w:sz w:val="20"/>
        </w:rPr>
        <w:t>AFTI</w:t>
      </w:r>
      <w:r w:rsidRPr="00C95C01">
        <w:rPr>
          <w:rFonts w:eastAsia="Century Gothic" w:cs="Times New Roman"/>
          <w:color w:val="2D659A"/>
          <w:sz w:val="20"/>
        </w:rPr>
        <w:t xml:space="preserve"> believes, however, that such reporting is illegitimate regarding an aggregated report containing both settled and failed transactions. The report pursuant to Art. 9 CSDR is an aggregated report containing all </w:t>
      </w:r>
      <w:proofErr w:type="spellStart"/>
      <w:r w:rsidRPr="00C95C01">
        <w:rPr>
          <w:rFonts w:eastAsia="Century Gothic" w:cs="Times New Roman"/>
          <w:color w:val="2D659A"/>
          <w:sz w:val="20"/>
        </w:rPr>
        <w:t>internalised</w:t>
      </w:r>
      <w:proofErr w:type="spellEnd"/>
      <w:r w:rsidRPr="00C95C01">
        <w:rPr>
          <w:rFonts w:eastAsia="Century Gothic" w:cs="Times New Roman"/>
          <w:color w:val="2D659A"/>
          <w:sz w:val="20"/>
        </w:rPr>
        <w:t xml:space="preserve"> settlements of a calendar quarter. Consequently, counting the days where settlement has not taken place is not possible. Otherwise, the report will produce wrong or misleading information.</w:t>
      </w:r>
    </w:p>
    <w:p w14:paraId="67AEDE21"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Regarding reporting parameters, </w:t>
      </w:r>
      <w:r>
        <w:rPr>
          <w:rFonts w:eastAsia="Century Gothic" w:cs="Times New Roman"/>
          <w:color w:val="2D659A"/>
          <w:sz w:val="20"/>
          <w:lang w:val="en-GB"/>
        </w:rPr>
        <w:t>AFTI</w:t>
      </w:r>
      <w:r w:rsidRPr="00C95C01">
        <w:rPr>
          <w:rFonts w:eastAsia="Century Gothic" w:cs="Times New Roman"/>
          <w:color w:val="2D659A"/>
          <w:sz w:val="20"/>
          <w:lang w:val="en-GB"/>
        </w:rPr>
        <w:t xml:space="preserve"> further believes that reporting should take place on an actual settlement date (ASD) basis rather than on an intended settlement date (ISD) basis.</w:t>
      </w:r>
    </w:p>
    <w:p w14:paraId="3A8C79D8"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Art. 2 of the Regulation (EU) 2017/391 stipulates, that settlement instructions are to be reported and not that (intended) settlement instructions, that do not yet have settled, are to be reported. Besides consistency, the ASD approach would lead to reliable, final data which would not bear the need for later correction.</w:t>
      </w:r>
    </w:p>
    <w:p w14:paraId="3A2B35DA" w14:textId="77777777" w:rsidR="00E57599" w:rsidRPr="00C95C01" w:rsidRDefault="00E57599" w:rsidP="00E57599">
      <w:pPr>
        <w:jc w:val="both"/>
        <w:rPr>
          <w:rFonts w:eastAsia="Century Gothic" w:cs="Times New Roman"/>
          <w:color w:val="2D659A"/>
          <w:sz w:val="20"/>
          <w:lang w:val="en-GB"/>
        </w:rPr>
      </w:pPr>
    </w:p>
    <w:tbl>
      <w:tblPr>
        <w:tblStyle w:val="TableGrid1"/>
        <w:tblW w:w="0" w:type="auto"/>
        <w:tblLook w:val="04A0" w:firstRow="1" w:lastRow="0" w:firstColumn="1" w:lastColumn="0" w:noHBand="0" w:noVBand="1"/>
      </w:tblPr>
      <w:tblGrid>
        <w:gridCol w:w="4508"/>
        <w:gridCol w:w="4508"/>
      </w:tblGrid>
      <w:tr w:rsidR="00E57599" w:rsidRPr="00C95C01" w14:paraId="38838D42" w14:textId="77777777" w:rsidTr="009F653F">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A0A0A0"/>
            <w:vAlign w:val="center"/>
          </w:tcPr>
          <w:p w14:paraId="26BDB2A1"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Scenarios</w:t>
            </w:r>
          </w:p>
        </w:tc>
        <w:tc>
          <w:tcPr>
            <w:tcW w:w="4508" w:type="dxa"/>
            <w:shd w:val="clear" w:color="auto" w:fill="A0A0A0"/>
            <w:vAlign w:val="center"/>
          </w:tcPr>
          <w:p w14:paraId="567A9A70" w14:textId="77777777" w:rsidR="00E57599" w:rsidRPr="00C95C01" w:rsidRDefault="00E57599" w:rsidP="009F653F">
            <w:pPr>
              <w:jc w:val="center"/>
              <w:rPr>
                <w:rFonts w:eastAsia="Century Gothic" w:cs="Times New Roman"/>
                <w:b/>
                <w:color w:val="2D659A"/>
                <w:sz w:val="20"/>
              </w:rPr>
            </w:pPr>
            <w:r w:rsidRPr="00C95C01">
              <w:rPr>
                <w:rFonts w:eastAsia="Century Gothic" w:cs="Times New Roman"/>
                <w:b/>
                <w:color w:val="2D659A"/>
                <w:sz w:val="20"/>
              </w:rPr>
              <w:t>Consequences/Reporting obligations</w:t>
            </w:r>
          </w:p>
        </w:tc>
      </w:tr>
      <w:tr w:rsidR="00E57599" w:rsidRPr="00C95C01" w14:paraId="3C233692" w14:textId="77777777" w:rsidTr="009F653F">
        <w:trPr>
          <w:cnfStyle w:val="000000100000" w:firstRow="0" w:lastRow="0" w:firstColumn="0" w:lastColumn="0" w:oddVBand="0" w:evenVBand="0" w:oddHBand="1" w:evenHBand="0" w:firstRowFirstColumn="0" w:firstRowLastColumn="0" w:lastRowFirstColumn="0" w:lastRowLastColumn="0"/>
        </w:trPr>
        <w:tc>
          <w:tcPr>
            <w:tcW w:w="4508" w:type="dxa"/>
            <w:vAlign w:val="center"/>
          </w:tcPr>
          <w:p w14:paraId="29CEFD43"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The ASD is equal to the ISD</w:t>
            </w:r>
          </w:p>
        </w:tc>
        <w:tc>
          <w:tcPr>
            <w:tcW w:w="4508" w:type="dxa"/>
            <w:vAlign w:val="center"/>
          </w:tcPr>
          <w:p w14:paraId="04D6B67B"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The instruction must be reported in the “settled” column</w:t>
            </w:r>
          </w:p>
        </w:tc>
      </w:tr>
      <w:tr w:rsidR="00E57599" w:rsidRPr="00C95C01" w14:paraId="34A06A73" w14:textId="77777777" w:rsidTr="009F653F">
        <w:tc>
          <w:tcPr>
            <w:tcW w:w="4508" w:type="dxa"/>
            <w:vAlign w:val="center"/>
          </w:tcPr>
          <w:p w14:paraId="2DF1471F"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The ASD is higher than the ISD</w:t>
            </w:r>
          </w:p>
        </w:tc>
        <w:tc>
          <w:tcPr>
            <w:tcW w:w="4508" w:type="dxa"/>
            <w:vAlign w:val="center"/>
          </w:tcPr>
          <w:p w14:paraId="1C424010"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The instruction must be reported in the “failed” column</w:t>
            </w:r>
          </w:p>
        </w:tc>
      </w:tr>
      <w:tr w:rsidR="00E57599" w:rsidRPr="00C95C01" w14:paraId="2652887B" w14:textId="77777777" w:rsidTr="009F653F">
        <w:trPr>
          <w:cnfStyle w:val="000000100000" w:firstRow="0" w:lastRow="0" w:firstColumn="0" w:lastColumn="0" w:oddVBand="0" w:evenVBand="0" w:oddHBand="1" w:evenHBand="0" w:firstRowFirstColumn="0" w:firstRowLastColumn="0" w:lastRowFirstColumn="0" w:lastRowLastColumn="0"/>
          <w:trHeight w:val="203"/>
        </w:trPr>
        <w:tc>
          <w:tcPr>
            <w:tcW w:w="4508" w:type="dxa"/>
            <w:vAlign w:val="center"/>
          </w:tcPr>
          <w:p w14:paraId="09207FF1"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An instruction that fails for several days through one or more reporting periods</w:t>
            </w:r>
          </w:p>
        </w:tc>
        <w:tc>
          <w:tcPr>
            <w:tcW w:w="4508" w:type="dxa"/>
            <w:vAlign w:val="center"/>
          </w:tcPr>
          <w:p w14:paraId="3ED902F0" w14:textId="77777777" w:rsidR="00E57599" w:rsidRPr="00C95C01" w:rsidRDefault="00E57599" w:rsidP="009F653F">
            <w:pPr>
              <w:spacing w:after="40"/>
              <w:jc w:val="both"/>
              <w:rPr>
                <w:rFonts w:eastAsia="Century Gothic" w:cs="Times New Roman"/>
                <w:color w:val="2D659A"/>
                <w:sz w:val="20"/>
              </w:rPr>
            </w:pPr>
            <w:r w:rsidRPr="00C95C01">
              <w:rPr>
                <w:rFonts w:eastAsia="Century Gothic" w:cs="Times New Roman"/>
                <w:color w:val="2D659A"/>
                <w:sz w:val="20"/>
              </w:rPr>
              <w:t>The instruction must be reported in the “failed” column only once, in order to avoid duplication</w:t>
            </w:r>
          </w:p>
        </w:tc>
      </w:tr>
    </w:tbl>
    <w:p w14:paraId="474AA19D" w14:textId="77777777" w:rsidR="00E57599" w:rsidRPr="00C95C01" w:rsidRDefault="00E57599" w:rsidP="00E57599">
      <w:pPr>
        <w:jc w:val="both"/>
        <w:rPr>
          <w:rFonts w:eastAsia="Century Gothic" w:cs="Times New Roman"/>
          <w:color w:val="2D659A"/>
          <w:sz w:val="20"/>
          <w:lang w:val="en-GB"/>
        </w:rPr>
      </w:pPr>
    </w:p>
    <w:p w14:paraId="1526D017"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The template report is very clear: it distinguishes between “settled” and “failed” transactions. In order to determine the correct scope of instructions to be reported, </w:t>
      </w:r>
      <w:r>
        <w:rPr>
          <w:rFonts w:eastAsia="Century Gothic" w:cs="Times New Roman"/>
          <w:color w:val="2D659A"/>
          <w:sz w:val="20"/>
          <w:lang w:val="en-GB"/>
        </w:rPr>
        <w:t>AFTI</w:t>
      </w:r>
      <w:r w:rsidRPr="00C95C01">
        <w:rPr>
          <w:rFonts w:eastAsia="Century Gothic" w:cs="Times New Roman"/>
          <w:color w:val="2D659A"/>
          <w:sz w:val="20"/>
          <w:lang w:val="en-GB"/>
        </w:rPr>
        <w:t xml:space="preserve"> advocates that the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adopts an approach to report, for a given period, all those transactions which have been settled during that period. To determine the population of failed instructions, the ASD would be used. Such an approach would be consistent and reliable, and would also address scenarios such as: </w:t>
      </w:r>
    </w:p>
    <w:p w14:paraId="0D09C3D9" w14:textId="77777777" w:rsidR="00E57599" w:rsidRPr="00C95C01" w:rsidRDefault="00E57599" w:rsidP="00E57599">
      <w:pPr>
        <w:numPr>
          <w:ilvl w:val="0"/>
          <w:numId w:val="1"/>
        </w:numPr>
        <w:jc w:val="both"/>
        <w:rPr>
          <w:rFonts w:eastAsia="Century Gothic" w:cs="Times New Roman"/>
          <w:color w:val="2D659A"/>
          <w:sz w:val="20"/>
          <w:lang w:val="en-GB"/>
        </w:rPr>
      </w:pPr>
      <w:r w:rsidRPr="00C95C01">
        <w:rPr>
          <w:rFonts w:eastAsia="Century Gothic" w:cs="Times New Roman"/>
          <w:color w:val="2D659A"/>
          <w:sz w:val="20"/>
          <w:lang w:val="en-GB"/>
        </w:rPr>
        <w:t xml:space="preserve">Cancelled instructions </w:t>
      </w:r>
    </w:p>
    <w:p w14:paraId="4AAB05DE" w14:textId="77777777" w:rsidR="00E57599" w:rsidRPr="00C95C01" w:rsidRDefault="00E57599" w:rsidP="00E57599">
      <w:pPr>
        <w:numPr>
          <w:ilvl w:val="0"/>
          <w:numId w:val="1"/>
        </w:numPr>
        <w:jc w:val="both"/>
        <w:rPr>
          <w:rFonts w:eastAsia="Century Gothic" w:cs="Times New Roman"/>
          <w:color w:val="2D659A"/>
          <w:sz w:val="20"/>
          <w:lang w:val="en-GB"/>
        </w:rPr>
      </w:pPr>
      <w:r w:rsidRPr="00C95C01">
        <w:rPr>
          <w:rFonts w:eastAsia="Century Gothic" w:cs="Times New Roman"/>
          <w:color w:val="2D659A"/>
          <w:sz w:val="20"/>
          <w:lang w:val="en-GB"/>
        </w:rPr>
        <w:t xml:space="preserve">Transformed instructions </w:t>
      </w:r>
    </w:p>
    <w:p w14:paraId="1E0CEBAB" w14:textId="77777777" w:rsidR="00E57599" w:rsidRPr="00C95C01" w:rsidRDefault="00E57599" w:rsidP="00E57599">
      <w:pPr>
        <w:numPr>
          <w:ilvl w:val="0"/>
          <w:numId w:val="1"/>
        </w:numPr>
        <w:spacing w:after="20"/>
        <w:ind w:left="714" w:hanging="357"/>
        <w:jc w:val="both"/>
        <w:rPr>
          <w:rFonts w:eastAsia="Century Gothic" w:cs="Times New Roman"/>
          <w:color w:val="2D659A"/>
          <w:sz w:val="20"/>
          <w:lang w:val="en-GB"/>
        </w:rPr>
      </w:pPr>
      <w:r w:rsidRPr="00C95C01">
        <w:rPr>
          <w:rFonts w:eastAsia="Century Gothic" w:cs="Times New Roman"/>
          <w:color w:val="2D659A"/>
          <w:sz w:val="20"/>
          <w:lang w:val="en-GB"/>
        </w:rPr>
        <w:t>Failure over the reporting period.</w:t>
      </w:r>
    </w:p>
    <w:p w14:paraId="70B9C6AD" w14:textId="77777777" w:rsidR="00E57599" w:rsidRPr="00C95C01" w:rsidRDefault="00E57599" w:rsidP="00E57599">
      <w:pPr>
        <w:spacing w:after="0"/>
        <w:jc w:val="both"/>
        <w:rPr>
          <w:rFonts w:eastAsia="Century Gothic" w:cs="Times New Roman"/>
          <w:color w:val="2D659A"/>
          <w:sz w:val="20"/>
          <w:lang w:val="en-GB"/>
        </w:rPr>
      </w:pPr>
    </w:p>
    <w:p w14:paraId="2207C699" w14:textId="77777777" w:rsidR="00E57599" w:rsidRPr="00C95C01" w:rsidRDefault="00E57599" w:rsidP="00E57599">
      <w:pPr>
        <w:jc w:val="both"/>
        <w:rPr>
          <w:rFonts w:eastAsia="Century Gothic" w:cs="Times New Roman"/>
          <w:color w:val="2D659A"/>
          <w:sz w:val="20"/>
          <w:lang w:val="en-GB"/>
        </w:rPr>
      </w:pPr>
      <w:r>
        <w:rPr>
          <w:rFonts w:eastAsia="Century Gothic" w:cs="Times New Roman"/>
          <w:color w:val="2D659A"/>
          <w:sz w:val="20"/>
          <w:lang w:val="en-GB"/>
        </w:rPr>
        <w:t>Should</w:t>
      </w:r>
      <w:r w:rsidRPr="00C95C01">
        <w:rPr>
          <w:rFonts w:eastAsia="Century Gothic" w:cs="Times New Roman"/>
          <w:color w:val="2D659A"/>
          <w:sz w:val="20"/>
          <w:lang w:val="en-GB"/>
        </w:rPr>
        <w:t xml:space="preserve"> ESMA not follow </w:t>
      </w:r>
      <w:r>
        <w:rPr>
          <w:rFonts w:eastAsia="Century Gothic" w:cs="Times New Roman"/>
          <w:color w:val="2D659A"/>
          <w:sz w:val="20"/>
          <w:lang w:val="en-GB"/>
        </w:rPr>
        <w:t>such an</w:t>
      </w:r>
      <w:r w:rsidRPr="00C95C01">
        <w:rPr>
          <w:rFonts w:eastAsia="Century Gothic" w:cs="Times New Roman"/>
          <w:color w:val="2D659A"/>
          <w:sz w:val="20"/>
          <w:lang w:val="en-GB"/>
        </w:rPr>
        <w:t xml:space="preserve"> approach, the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would have to send corrections of reports whenever one of the above scenarios would appear, as a result. This can make also the risk assessment of regulators more challenging. Moreover, no provisions exist on how and in which timeframe to correct an already submitted report.</w:t>
      </w:r>
    </w:p>
    <w:p w14:paraId="1F5A96DA"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lastRenderedPageBreak/>
        <w:t xml:space="preserve">Regarding para 26, it would be helpful to clarify that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can use the same logic in converting other currencies into Euros like in other reports (e.g. Art. 26 </w:t>
      </w:r>
      <w:proofErr w:type="spellStart"/>
      <w:r w:rsidRPr="00C95C01">
        <w:rPr>
          <w:rFonts w:eastAsia="Century Gothic" w:cs="Times New Roman"/>
          <w:color w:val="2D659A"/>
          <w:sz w:val="20"/>
          <w:lang w:val="en-GB"/>
        </w:rPr>
        <w:t>MiFIR</w:t>
      </w:r>
      <w:proofErr w:type="spellEnd"/>
      <w:r w:rsidRPr="00C95C01">
        <w:rPr>
          <w:rFonts w:eastAsia="Century Gothic" w:cs="Times New Roman"/>
          <w:color w:val="2D659A"/>
          <w:sz w:val="20"/>
          <w:lang w:val="en-GB"/>
        </w:rPr>
        <w:t>), particularly where no ECB exchange rate is available.</w:t>
      </w:r>
    </w:p>
    <w:p w14:paraId="7159F6AB" w14:textId="77777777" w:rsidR="00E57599" w:rsidRPr="00C95C01" w:rsidRDefault="00E57599" w:rsidP="00E57599">
      <w:pPr>
        <w:jc w:val="both"/>
        <w:rPr>
          <w:rFonts w:eastAsia="Century Gothic" w:cs="Times New Roman"/>
          <w:color w:val="2D659A"/>
          <w:sz w:val="20"/>
          <w:lang w:val="en-GB"/>
        </w:rPr>
      </w:pPr>
      <w:r>
        <w:rPr>
          <w:rFonts w:eastAsia="Century Gothic" w:cs="Times New Roman"/>
          <w:color w:val="2D659A"/>
          <w:sz w:val="20"/>
          <w:lang w:val="en-GB"/>
        </w:rPr>
        <w:t>AFTI</w:t>
      </w:r>
      <w:r w:rsidRPr="00C95C01">
        <w:rPr>
          <w:rFonts w:eastAsia="Century Gothic" w:cs="Times New Roman"/>
          <w:color w:val="2D659A"/>
          <w:sz w:val="20"/>
          <w:lang w:val="en-GB"/>
        </w:rPr>
        <w:t xml:space="preserve"> welcomes the clarification in para 27 with regard to the date when the first report is due. Further clarification would be welcome that certain timeframes exist regarding the receipt of not-acknowledged messages and within which timeframe the report needs to be resend. Moreover, the final guidelines should require the testing of the new reporting between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and national competent authorities, ideally at least three months before the first report is due.</w:t>
      </w:r>
    </w:p>
    <w:p w14:paraId="2358F748"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Regarding the data reporting parameters, </w:t>
      </w:r>
      <w:r>
        <w:rPr>
          <w:rFonts w:eastAsia="Century Gothic" w:cs="Times New Roman"/>
          <w:color w:val="2D659A"/>
          <w:sz w:val="20"/>
          <w:lang w:val="en-GB"/>
        </w:rPr>
        <w:t>AFTI</w:t>
      </w:r>
      <w:r w:rsidRPr="00C95C01">
        <w:rPr>
          <w:rFonts w:eastAsia="Century Gothic" w:cs="Times New Roman"/>
          <w:color w:val="2D659A"/>
          <w:sz w:val="20"/>
          <w:lang w:val="en-GB"/>
        </w:rPr>
        <w:t xml:space="preserve"> would like to mention that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do not know the background or legal cause of a settlement transaction. In order to comply with the categorisation obligations as regards types of transactions within the report,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are dependent on their clients’ information. Where no information is provided, </w:t>
      </w:r>
      <w:r>
        <w:rPr>
          <w:rFonts w:eastAsia="Century Gothic" w:cs="Times New Roman"/>
          <w:color w:val="2D659A"/>
          <w:sz w:val="20"/>
          <w:lang w:val="en-GB"/>
        </w:rPr>
        <w:t>AFTI</w:t>
      </w:r>
      <w:r w:rsidRPr="00C95C01">
        <w:rPr>
          <w:rFonts w:eastAsia="Century Gothic" w:cs="Times New Roman"/>
          <w:color w:val="2D659A"/>
          <w:sz w:val="20"/>
          <w:lang w:val="en-GB"/>
        </w:rPr>
        <w:t xml:space="preserve"> suggests to populate the field “other securities transactions” as a default option.</w:t>
      </w:r>
    </w:p>
    <w:p w14:paraId="2713540F" w14:textId="77777777" w:rsidR="00E57599" w:rsidRPr="00C95C01" w:rsidRDefault="00E57599" w:rsidP="00E57599">
      <w:pPr>
        <w:jc w:val="both"/>
        <w:rPr>
          <w:rFonts w:eastAsia="Century Gothic" w:cs="Times New Roman"/>
          <w:color w:val="2D659A"/>
          <w:sz w:val="20"/>
          <w:lang w:val="en-GB"/>
        </w:rPr>
      </w:pPr>
    </w:p>
    <w:p w14:paraId="2B8C8131"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Further to the ISO transaction codes mentioned in the implementing regulation (for “collateral management operations” and “repurchase transactions”), the following ISO transaction codes can be categorized into:</w:t>
      </w:r>
    </w:p>
    <w:p w14:paraId="4845020D" w14:textId="77777777" w:rsidR="00E57599" w:rsidRPr="00C95C01" w:rsidRDefault="00E57599" w:rsidP="00E57599">
      <w:pPr>
        <w:numPr>
          <w:ilvl w:val="0"/>
          <w:numId w:val="4"/>
        </w:numPr>
        <w:contextualSpacing/>
        <w:jc w:val="both"/>
        <w:rPr>
          <w:rFonts w:eastAsia="Century Gothic" w:cs="Times New Roman"/>
          <w:color w:val="2D659A"/>
          <w:sz w:val="20"/>
          <w:lang w:val="en-GB"/>
        </w:rPr>
      </w:pPr>
      <w:r w:rsidRPr="00C95C01">
        <w:rPr>
          <w:rFonts w:eastAsia="Century Gothic" w:cs="Times New Roman"/>
          <w:color w:val="2D659A"/>
          <w:sz w:val="20"/>
          <w:lang w:val="en-GB"/>
        </w:rPr>
        <w:t>Purchase or sale of securities: PLAC/ISSU/SYND/TRAD/TURN,</w:t>
      </w:r>
    </w:p>
    <w:p w14:paraId="1A6C90FB" w14:textId="77777777" w:rsidR="00E57599" w:rsidRPr="00C95C01" w:rsidRDefault="00E57599" w:rsidP="00E57599">
      <w:pPr>
        <w:numPr>
          <w:ilvl w:val="0"/>
          <w:numId w:val="4"/>
        </w:numPr>
        <w:contextualSpacing/>
        <w:jc w:val="both"/>
        <w:rPr>
          <w:rFonts w:eastAsia="Century Gothic" w:cs="Times New Roman"/>
          <w:color w:val="2D659A"/>
          <w:sz w:val="20"/>
          <w:lang w:val="en-GB"/>
        </w:rPr>
      </w:pPr>
      <w:r w:rsidRPr="00C95C01">
        <w:rPr>
          <w:rFonts w:eastAsia="Century Gothic" w:cs="Times New Roman"/>
          <w:color w:val="2D659A"/>
          <w:sz w:val="20"/>
          <w:lang w:val="en-GB"/>
        </w:rPr>
        <w:t>Securities lending and securities borrowing: SBRE/SECB/SECL/SRLE</w:t>
      </w:r>
    </w:p>
    <w:p w14:paraId="5202A202" w14:textId="77777777" w:rsidR="00E57599" w:rsidRPr="00C95C01" w:rsidRDefault="00E57599" w:rsidP="00E57599">
      <w:pPr>
        <w:numPr>
          <w:ilvl w:val="0"/>
          <w:numId w:val="4"/>
        </w:numPr>
        <w:contextualSpacing/>
        <w:jc w:val="both"/>
        <w:rPr>
          <w:rFonts w:eastAsia="Century Gothic" w:cs="Times New Roman"/>
          <w:color w:val="2D659A"/>
          <w:sz w:val="20"/>
          <w:lang w:val="en-GB"/>
        </w:rPr>
      </w:pPr>
      <w:r w:rsidRPr="00C95C01">
        <w:rPr>
          <w:rFonts w:eastAsia="Century Gothic" w:cs="Times New Roman"/>
          <w:color w:val="2D659A"/>
          <w:sz w:val="20"/>
          <w:lang w:val="en-GB"/>
        </w:rPr>
        <w:t>Other securities transactions: all other transactions codes or where background of transaction is unknown.</w:t>
      </w:r>
    </w:p>
    <w:p w14:paraId="4A0E02BD" w14:textId="77777777" w:rsidR="00E57599" w:rsidRDefault="00E57599" w:rsidP="00E57599">
      <w:pPr>
        <w:jc w:val="both"/>
        <w:rPr>
          <w:rFonts w:eastAsia="Century Gothic" w:cs="Times New Roman"/>
          <w:color w:val="2D659A"/>
          <w:sz w:val="20"/>
          <w:lang w:val="en-GB"/>
        </w:rPr>
      </w:pPr>
    </w:p>
    <w:p w14:paraId="168BE89A" w14:textId="77777777" w:rsidR="00E57599" w:rsidRPr="00C95C01" w:rsidRDefault="00E57599" w:rsidP="00E57599">
      <w:pPr>
        <w:jc w:val="both"/>
        <w:rPr>
          <w:rFonts w:eastAsia="Century Gothic" w:cs="Times New Roman"/>
          <w:color w:val="2D659A"/>
          <w:sz w:val="20"/>
          <w:lang w:val="en-GB"/>
        </w:rPr>
      </w:pPr>
    </w:p>
    <w:p w14:paraId="10670A8E"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t xml:space="preserve">Q4: What are your views regarding the proposed requirement according to which settlement </w:t>
      </w:r>
      <w:proofErr w:type="spellStart"/>
      <w:r w:rsidRPr="00C95C01">
        <w:rPr>
          <w:rFonts w:eastAsia="Times New Roman" w:cs="Times New Roman"/>
          <w:b/>
          <w:color w:val="006E95"/>
          <w:sz w:val="16"/>
          <w:u w:color="FFFFFF"/>
        </w:rPr>
        <w:t>internalisers</w:t>
      </w:r>
      <w:proofErr w:type="spellEnd"/>
      <w:r w:rsidRPr="00C95C01">
        <w:rPr>
          <w:rFonts w:eastAsia="Times New Roman" w:cs="Times New Roman"/>
          <w:b/>
          <w:color w:val="006E95"/>
          <w:sz w:val="16"/>
          <w:u w:color="FFFFFF"/>
        </w:rPr>
        <w:t xml:space="preserve"> should use an XML format based on the ISO-20022 compliant XSD schema?</w:t>
      </w:r>
    </w:p>
    <w:p w14:paraId="5C0C9C50" w14:textId="77777777" w:rsidR="00E57599" w:rsidRPr="00C95C01" w:rsidRDefault="00E57599" w:rsidP="00E57599">
      <w:pPr>
        <w:jc w:val="both"/>
        <w:rPr>
          <w:rFonts w:eastAsia="Century Gothic" w:cs="Times New Roman"/>
          <w:color w:val="2D659A"/>
          <w:sz w:val="20"/>
          <w:lang w:val="en-GB"/>
        </w:rPr>
      </w:pPr>
      <w:r>
        <w:rPr>
          <w:rFonts w:eastAsia="Century Gothic" w:cs="Times New Roman"/>
          <w:color w:val="2D659A"/>
          <w:sz w:val="20"/>
          <w:lang w:val="en-GB"/>
        </w:rPr>
        <w:t>AFTI</w:t>
      </w:r>
      <w:r w:rsidRPr="00C95C01">
        <w:rPr>
          <w:rFonts w:eastAsia="Century Gothic" w:cs="Times New Roman"/>
          <w:color w:val="2D659A"/>
          <w:sz w:val="20"/>
          <w:lang w:val="en-GB"/>
        </w:rPr>
        <w:t xml:space="preserve"> believes that this might be an issue, given that many banks or other financial firms subject to reporting do not intend to switch from the well-established ISO 15022 standard to ISO 20022 in the near future.  We do not have the technical expertise to judge whether the requirement "an XML format based on the ISO 20022 compliant XDS schema" is an issue or not for firms who do not migrate to ISO 20022 by the time the reporting obligation kicks in.</w:t>
      </w:r>
    </w:p>
    <w:p w14:paraId="6AD581C6"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With regard to necessary budget planning, programming and testing, the draft of the proposed XSD schema should be published before the end of 2017.</w:t>
      </w:r>
    </w:p>
    <w:p w14:paraId="1BE08B88" w14:textId="77777777" w:rsidR="00E57599" w:rsidRPr="00C95C01" w:rsidRDefault="00E57599" w:rsidP="00E57599">
      <w:pPr>
        <w:jc w:val="both"/>
        <w:rPr>
          <w:rFonts w:eastAsia="Century Gothic" w:cs="Times New Roman"/>
          <w:color w:val="2D659A"/>
          <w:sz w:val="20"/>
          <w:lang w:val="en-GB"/>
        </w:rPr>
      </w:pPr>
    </w:p>
    <w:p w14:paraId="1055AAF7"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t xml:space="preserve">Q5: Do you have any comments or suggestions regarding the proposed process for submission of </w:t>
      </w:r>
      <w:proofErr w:type="spellStart"/>
      <w:r w:rsidRPr="00C95C01">
        <w:rPr>
          <w:rFonts w:eastAsia="Times New Roman" w:cs="Times New Roman"/>
          <w:b/>
          <w:color w:val="006E95"/>
          <w:sz w:val="16"/>
          <w:u w:color="FFFFFF"/>
        </w:rPr>
        <w:t>internalised</w:t>
      </w:r>
      <w:proofErr w:type="spellEnd"/>
      <w:r w:rsidRPr="00C95C01">
        <w:rPr>
          <w:rFonts w:eastAsia="Times New Roman" w:cs="Times New Roman"/>
          <w:b/>
          <w:color w:val="006E95"/>
          <w:sz w:val="16"/>
          <w:u w:color="FFFFFF"/>
        </w:rPr>
        <w:t xml:space="preserve"> settlement reports?</w:t>
      </w:r>
    </w:p>
    <w:p w14:paraId="418C6EF1"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Regarding para 31, the guidelines should provide for an obligation that incoming reports are validated upon receipt and that confirmation of the validated receipt is sent to the reporting entity </w:t>
      </w:r>
      <w:r>
        <w:rPr>
          <w:rFonts w:eastAsia="Century Gothic" w:cs="Times New Roman"/>
          <w:color w:val="2D659A"/>
          <w:sz w:val="20"/>
          <w:lang w:val="en-GB"/>
        </w:rPr>
        <w:t>promptly</w:t>
      </w:r>
      <w:r w:rsidRPr="00C95C01">
        <w:rPr>
          <w:rFonts w:eastAsia="Century Gothic" w:cs="Times New Roman"/>
          <w:color w:val="2D659A"/>
          <w:sz w:val="20"/>
          <w:lang w:val="en-GB"/>
        </w:rPr>
        <w:t>. The same procedures and timeframes should apply throughout the EU for any correction to be made to reports.</w:t>
      </w:r>
    </w:p>
    <w:p w14:paraId="4388E9A5"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Furthermore, </w:t>
      </w:r>
      <w:r>
        <w:rPr>
          <w:rFonts w:eastAsia="Century Gothic" w:cs="Times New Roman"/>
          <w:color w:val="2D659A"/>
          <w:sz w:val="20"/>
          <w:lang w:val="en-GB"/>
        </w:rPr>
        <w:t>AFTI</w:t>
      </w:r>
      <w:r w:rsidRPr="00C95C01">
        <w:rPr>
          <w:rFonts w:eastAsia="Century Gothic" w:cs="Times New Roman"/>
          <w:color w:val="2D659A"/>
          <w:sz w:val="20"/>
          <w:lang w:val="en-GB"/>
        </w:rPr>
        <w:t xml:space="preserve"> would like to suggest that testing should be offered by the national competent authorities before the first report is due. Ideally, an appropriate timeframe for the testing period should be stated. The provisions on testing could be set out in a new chapter.</w:t>
      </w:r>
    </w:p>
    <w:p w14:paraId="76782D77" w14:textId="77777777" w:rsidR="00E57599" w:rsidRDefault="00E57599" w:rsidP="00E57599">
      <w:pPr>
        <w:jc w:val="both"/>
        <w:rPr>
          <w:rFonts w:eastAsia="Century Gothic" w:cs="Times New Roman"/>
          <w:color w:val="2D659A"/>
          <w:sz w:val="20"/>
          <w:lang w:val="en-GB"/>
        </w:rPr>
      </w:pPr>
    </w:p>
    <w:p w14:paraId="7B7515DA" w14:textId="77777777" w:rsidR="00E57599" w:rsidRPr="00C95C01" w:rsidRDefault="00E57599" w:rsidP="00E57599">
      <w:pPr>
        <w:jc w:val="both"/>
        <w:rPr>
          <w:rFonts w:eastAsia="Century Gothic" w:cs="Times New Roman"/>
          <w:color w:val="2D659A"/>
          <w:sz w:val="20"/>
          <w:lang w:val="en-GB"/>
        </w:rPr>
      </w:pPr>
    </w:p>
    <w:p w14:paraId="55D4547D" w14:textId="77777777" w:rsidR="00E57599" w:rsidRPr="00C95C01" w:rsidRDefault="00E57599" w:rsidP="00E57599">
      <w:pPr>
        <w:keepNext/>
        <w:keepLines/>
        <w:framePr w:hSpace="141" w:wrap="around" w:vAnchor="text" w:hAnchor="margin" w:x="-284" w:y="-21"/>
        <w:spacing w:before="40"/>
        <w:jc w:val="both"/>
        <w:outlineLvl w:val="2"/>
        <w:rPr>
          <w:rFonts w:eastAsia="Times New Roman" w:cs="Times New Roman"/>
          <w:b/>
          <w:color w:val="006E95"/>
          <w:sz w:val="16"/>
          <w:u w:color="FFFFFF"/>
        </w:rPr>
      </w:pPr>
      <w:r w:rsidRPr="00C95C01">
        <w:rPr>
          <w:rFonts w:eastAsia="Times New Roman" w:cs="Times New Roman"/>
          <w:b/>
          <w:color w:val="006E95"/>
          <w:sz w:val="16"/>
          <w:u w:color="FFFFFF"/>
        </w:rPr>
        <w:lastRenderedPageBreak/>
        <w:t>Q6: Do you have any additional comments or suggestions regarding the proposed guidelines?</w:t>
      </w:r>
    </w:p>
    <w:p w14:paraId="4DBA28D5" w14:textId="77777777" w:rsidR="00E57599" w:rsidRPr="00C95C01" w:rsidRDefault="00E57599" w:rsidP="00E57599">
      <w:pPr>
        <w:jc w:val="both"/>
        <w:rPr>
          <w:rFonts w:eastAsia="Century Gothic" w:cs="Times New Roman"/>
          <w:color w:val="2D659A"/>
          <w:sz w:val="20"/>
          <w:lang w:val="en-GB"/>
        </w:rPr>
      </w:pPr>
    </w:p>
    <w:p w14:paraId="79BD6305" w14:textId="77777777" w:rsidR="00E57599" w:rsidRPr="00C95C01" w:rsidRDefault="00E57599" w:rsidP="00E57599">
      <w:pPr>
        <w:spacing w:after="60"/>
        <w:jc w:val="both"/>
        <w:rPr>
          <w:rFonts w:eastAsia="Century Gothic" w:cs="Times New Roman"/>
          <w:color w:val="2D659A"/>
          <w:sz w:val="20"/>
          <w:lang w:val="en-GB"/>
        </w:rPr>
      </w:pPr>
      <w:r>
        <w:rPr>
          <w:rFonts w:eastAsia="Century Gothic" w:cs="Times New Roman"/>
          <w:color w:val="2D659A"/>
          <w:sz w:val="20"/>
          <w:lang w:val="en-GB"/>
        </w:rPr>
        <w:t>AFTI</w:t>
      </w:r>
      <w:r w:rsidRPr="00C95C01">
        <w:rPr>
          <w:rFonts w:eastAsia="Century Gothic" w:cs="Times New Roman"/>
          <w:color w:val="2D659A"/>
          <w:sz w:val="20"/>
          <w:lang w:val="en-GB"/>
        </w:rPr>
        <w:t xml:space="preserve"> encourages ESMA to actively confirm the validity of the PSET approach as the cornerstone to determine whether something is reportable or not. Reporting of non-EU securities is a significant issue both conceptually and technically for which the PSET approach presents itself as a truly elegant and pragmatic solution to master it. </w:t>
      </w:r>
    </w:p>
    <w:p w14:paraId="718CA961" w14:textId="77777777" w:rsidR="00E57599" w:rsidRPr="00C95C01" w:rsidRDefault="00E57599" w:rsidP="00E57599">
      <w:pPr>
        <w:spacing w:after="60"/>
        <w:jc w:val="both"/>
        <w:rPr>
          <w:rFonts w:eastAsia="Century Gothic" w:cs="Times New Roman"/>
          <w:color w:val="2D659A"/>
          <w:sz w:val="20"/>
          <w:lang w:val="en-GB"/>
        </w:rPr>
      </w:pPr>
      <w:r w:rsidRPr="00C95C01">
        <w:rPr>
          <w:rFonts w:eastAsia="Century Gothic" w:cs="Times New Roman"/>
          <w:color w:val="2D659A"/>
          <w:sz w:val="20"/>
          <w:lang w:val="en-GB"/>
        </w:rPr>
        <w:t>What ESMA is proposing is too broad and is difficult to manage. We should build out the PSET idea as a solution.</w:t>
      </w:r>
    </w:p>
    <w:p w14:paraId="3C4AE41A" w14:textId="77777777" w:rsidR="00E57599" w:rsidRPr="00C95C01" w:rsidRDefault="00E57599" w:rsidP="00E57599">
      <w:pPr>
        <w:spacing w:after="40"/>
        <w:jc w:val="both"/>
        <w:rPr>
          <w:rFonts w:eastAsia="Century Gothic" w:cs="Times New Roman"/>
          <w:color w:val="2D659A"/>
          <w:sz w:val="20"/>
          <w:lang w:val="en-GB"/>
        </w:rPr>
      </w:pPr>
    </w:p>
    <w:p w14:paraId="201D88A6"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Furthermore, regarding the determination/ calculation of market value of free of payment transactions, the RTS (Article 2, para 3) set out detailed requirements with respect to how to source or calculate the price. We would like to raise our concerns on the feasibility of implementing such a solution in an automated manner. The determination of the price for each ISIN based on liquidity or higher turnover or pre-determined methodology from a different market or venue is not something that each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will be able to support in a consistent manner. Financial Institutions already use approved service providers to source price feeds which are used for other purposes like portfolio valuation and billing. Different service providers may use different sources (different market or venue) for the same ISIN. This will result in the use of a different price from each settlement </w:t>
      </w:r>
      <w:proofErr w:type="spellStart"/>
      <w:r w:rsidRPr="00C95C01">
        <w:rPr>
          <w:rFonts w:eastAsia="Century Gothic" w:cs="Times New Roman"/>
          <w:color w:val="2D659A"/>
          <w:sz w:val="20"/>
          <w:lang w:val="en-GB"/>
        </w:rPr>
        <w:t>internaliser</w:t>
      </w:r>
      <w:proofErr w:type="spellEnd"/>
      <w:r w:rsidRPr="00C95C01">
        <w:rPr>
          <w:rFonts w:eastAsia="Century Gothic" w:cs="Times New Roman"/>
          <w:color w:val="2D659A"/>
          <w:sz w:val="20"/>
          <w:lang w:val="en-GB"/>
        </w:rPr>
        <w:t xml:space="preserve"> for the calculation of the value of free of payment internalised settlement instructions.</w:t>
      </w:r>
    </w:p>
    <w:p w14:paraId="280FFB8F"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Differences in the prices used by vendors will not substantially alter the total values included in the report but still they will not be fully compliant with the price determination/source provided in the RTS.</w:t>
      </w:r>
    </w:p>
    <w:p w14:paraId="083259B8" w14:textId="77777777" w:rsidR="00E57599" w:rsidRPr="00C95C01" w:rsidRDefault="00E57599" w:rsidP="00E57599">
      <w:pPr>
        <w:jc w:val="both"/>
        <w:rPr>
          <w:rFonts w:eastAsia="Century Gothic" w:cs="Times New Roman"/>
          <w:color w:val="2D659A"/>
          <w:sz w:val="20"/>
          <w:lang w:val="en-GB"/>
        </w:rPr>
      </w:pPr>
      <w:r w:rsidRPr="00C95C01">
        <w:rPr>
          <w:rFonts w:eastAsia="Century Gothic" w:cs="Times New Roman"/>
          <w:color w:val="2D659A"/>
          <w:sz w:val="20"/>
          <w:lang w:val="en-GB"/>
        </w:rPr>
        <w:t xml:space="preserve">We would appreciate ESMA’s guidance on whether this is acceptable or whether ESMA in order to facilitate consistent implementation would consider the appointment/creation of a public source from where settlement </w:t>
      </w:r>
      <w:proofErr w:type="spellStart"/>
      <w:r w:rsidRPr="00C95C01">
        <w:rPr>
          <w:rFonts w:eastAsia="Century Gothic" w:cs="Times New Roman"/>
          <w:color w:val="2D659A"/>
          <w:sz w:val="20"/>
          <w:lang w:val="en-GB"/>
        </w:rPr>
        <w:t>internalisers</w:t>
      </w:r>
      <w:proofErr w:type="spellEnd"/>
      <w:r w:rsidRPr="00C95C01">
        <w:rPr>
          <w:rFonts w:eastAsia="Century Gothic" w:cs="Times New Roman"/>
          <w:color w:val="2D659A"/>
          <w:sz w:val="20"/>
          <w:lang w:val="en-GB"/>
        </w:rPr>
        <w:t xml:space="preserve"> will be able to extract the price per ISIN based on the RTS requirements in an agreed XML format.</w:t>
      </w:r>
    </w:p>
    <w:p w14:paraId="0EA8A73D" w14:textId="77777777" w:rsidR="00E57599" w:rsidRPr="00C95C01" w:rsidRDefault="00E57599" w:rsidP="00E57599">
      <w:pPr>
        <w:jc w:val="both"/>
        <w:rPr>
          <w:sz w:val="20"/>
          <w:szCs w:val="20"/>
        </w:rPr>
      </w:pPr>
    </w:p>
    <w:p w14:paraId="772475E5" w14:textId="77777777" w:rsidR="00F95EDE" w:rsidRDefault="00F95EDE"/>
    <w:sectPr w:rsidR="00F95EDE" w:rsidSect="000E53EC">
      <w:headerReference w:type="default" r:id="rId7"/>
      <w:footerReference w:type="even" r:id="rId8"/>
      <w:headerReference w:type="first" r:id="rId9"/>
      <w:pgSz w:w="11900" w:h="16840" w:code="9"/>
      <w:pgMar w:top="1418" w:right="1418" w:bottom="1134"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EFA3" w14:textId="77777777" w:rsidR="00E57599" w:rsidRDefault="00E57599" w:rsidP="00E57599">
      <w:pPr>
        <w:spacing w:after="0"/>
      </w:pPr>
      <w:r>
        <w:separator/>
      </w:r>
    </w:p>
  </w:endnote>
  <w:endnote w:type="continuationSeparator" w:id="0">
    <w:p w14:paraId="3BC178B1" w14:textId="77777777" w:rsidR="00E57599" w:rsidRDefault="00E57599" w:rsidP="00E57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952B" w14:textId="77777777" w:rsidR="00EF0247" w:rsidRDefault="00E57599" w:rsidP="00974917">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213F4520" w14:textId="77777777" w:rsidR="00EF0247" w:rsidRDefault="00C91018" w:rsidP="00974917">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30A86" w14:textId="77777777" w:rsidR="00E57599" w:rsidRDefault="00E57599" w:rsidP="00E57599">
      <w:pPr>
        <w:spacing w:after="0"/>
      </w:pPr>
      <w:r>
        <w:separator/>
      </w:r>
    </w:p>
  </w:footnote>
  <w:footnote w:type="continuationSeparator" w:id="0">
    <w:p w14:paraId="3837BCFF" w14:textId="77777777" w:rsidR="00E57599" w:rsidRDefault="00E57599" w:rsidP="00E575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C1D2" w14:textId="77777777" w:rsidR="00EF0247" w:rsidRDefault="00E57599">
    <w:pPr>
      <w:pStyle w:val="En-tte"/>
    </w:pPr>
    <w:r>
      <w:rPr>
        <w:noProof/>
        <w:lang w:val="fr-FR" w:eastAsia="fr-FR"/>
      </w:rPr>
      <w:drawing>
        <wp:anchor distT="0" distB="0" distL="114300" distR="114300" simplePos="0" relativeHeight="251660288" behindDoc="0" locked="0" layoutInCell="1" allowOverlap="1" wp14:anchorId="61BAFE9D" wp14:editId="5DC6B4F6">
          <wp:simplePos x="0" y="0"/>
          <wp:positionH relativeFrom="column">
            <wp:posOffset>1771650</wp:posOffset>
          </wp:positionH>
          <wp:positionV relativeFrom="paragraph">
            <wp:posOffset>-173990</wp:posOffset>
          </wp:positionV>
          <wp:extent cx="1835150" cy="762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E5234" w14:textId="77777777" w:rsidR="00EF0247" w:rsidRDefault="00E57599" w:rsidP="00E57599">
    <w:pPr>
      <w:pStyle w:val="En-tte"/>
      <w:tabs>
        <w:tab w:val="clear" w:pos="4703"/>
        <w:tab w:val="clear" w:pos="9406"/>
        <w:tab w:val="left" w:pos="5085"/>
      </w:tabs>
    </w:pPr>
    <w:r>
      <w:tab/>
    </w:r>
  </w:p>
  <w:p w14:paraId="78C48894" w14:textId="77777777" w:rsidR="00EF0247" w:rsidRDefault="00C91018">
    <w:pPr>
      <w:pStyle w:val="En-tte"/>
    </w:pPr>
  </w:p>
  <w:p w14:paraId="26B880FD" w14:textId="77777777" w:rsidR="00C95C01" w:rsidRDefault="00C91018">
    <w:pPr>
      <w:pStyle w:val="En-tte"/>
    </w:pPr>
  </w:p>
  <w:p w14:paraId="0F39410E" w14:textId="77777777" w:rsidR="00C95C01" w:rsidRDefault="00C91018">
    <w:pPr>
      <w:pStyle w:val="En-tte"/>
    </w:pPr>
  </w:p>
  <w:p w14:paraId="22817314" w14:textId="77777777" w:rsidR="00C95C01" w:rsidRDefault="00C91018">
    <w:pPr>
      <w:pStyle w:val="En-tte"/>
    </w:pPr>
  </w:p>
  <w:p w14:paraId="5B289A8F" w14:textId="77777777" w:rsidR="00C95C01" w:rsidRDefault="00C910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C1ED" w14:textId="77777777" w:rsidR="00E57599" w:rsidRDefault="00E57599">
    <w:pPr>
      <w:pStyle w:val="En-tte"/>
    </w:pPr>
    <w:r>
      <w:rPr>
        <w:noProof/>
        <w:lang w:val="fr-FR" w:eastAsia="fr-FR"/>
      </w:rPr>
      <w:drawing>
        <wp:anchor distT="0" distB="0" distL="114300" distR="114300" simplePos="0" relativeHeight="251658240" behindDoc="0" locked="0" layoutInCell="1" allowOverlap="1" wp14:anchorId="2B1918BC" wp14:editId="7CD6B631">
          <wp:simplePos x="0" y="0"/>
          <wp:positionH relativeFrom="column">
            <wp:posOffset>2000250</wp:posOffset>
          </wp:positionH>
          <wp:positionV relativeFrom="paragraph">
            <wp:posOffset>-228600</wp:posOffset>
          </wp:positionV>
          <wp:extent cx="183515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116"/>
    <w:multiLevelType w:val="hybridMultilevel"/>
    <w:tmpl w:val="8E1C5A50"/>
    <w:lvl w:ilvl="0" w:tplc="0409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7D2F9C"/>
    <w:multiLevelType w:val="hybridMultilevel"/>
    <w:tmpl w:val="E84AECDA"/>
    <w:lvl w:ilvl="0" w:tplc="2634F3CC">
      <w:numFmt w:val="bullet"/>
      <w:lvlText w:val="-"/>
      <w:lvlJc w:val="left"/>
      <w:pPr>
        <w:ind w:left="360" w:hanging="360"/>
      </w:pPr>
      <w:rPr>
        <w:rFonts w:ascii="Calibri" w:eastAsia="Calibri" w:hAnsi="Calibri" w:cs="Calibri" w:hint="default"/>
        <w:color w:val="2C649A"/>
        <w:w w:val="99"/>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F96363"/>
    <w:multiLevelType w:val="hybridMultilevel"/>
    <w:tmpl w:val="545E1A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DA3BF1"/>
    <w:multiLevelType w:val="hybridMultilevel"/>
    <w:tmpl w:val="5832E0A8"/>
    <w:lvl w:ilvl="0" w:tplc="04070015">
      <w:start w:val="1"/>
      <w:numFmt w:val="decimal"/>
      <w:lvlText w:val="(%1)"/>
      <w:lvlJc w:val="left"/>
      <w:pPr>
        <w:ind w:left="720" w:hanging="360"/>
      </w:pPr>
    </w:lvl>
    <w:lvl w:ilvl="1" w:tplc="39C833DC">
      <w:numFmt w:val="bullet"/>
      <w:lvlText w:val="•"/>
      <w:lvlJc w:val="left"/>
      <w:pPr>
        <w:ind w:left="1800" w:hanging="720"/>
      </w:pPr>
      <w:rPr>
        <w:rFonts w:ascii="Verdana" w:eastAsia="Calibri" w:hAnsi="Verdana" w:cs="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46126BBD"/>
    <w:multiLevelType w:val="hybridMultilevel"/>
    <w:tmpl w:val="1B980AF2"/>
    <w:lvl w:ilvl="0" w:tplc="168070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C303D"/>
    <w:multiLevelType w:val="hybridMultilevel"/>
    <w:tmpl w:val="7AEE893E"/>
    <w:lvl w:ilvl="0" w:tplc="16807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E3675"/>
    <w:multiLevelType w:val="hybridMultilevel"/>
    <w:tmpl w:val="DE20FFC8"/>
    <w:lvl w:ilvl="0" w:tplc="168070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684"/>
    <w:multiLevelType w:val="hybridMultilevel"/>
    <w:tmpl w:val="CEB21AC6"/>
    <w:lvl w:ilvl="0" w:tplc="16807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9"/>
    <w:rsid w:val="001561E2"/>
    <w:rsid w:val="00297D78"/>
    <w:rsid w:val="002E05E6"/>
    <w:rsid w:val="004C10CD"/>
    <w:rsid w:val="00C91018"/>
    <w:rsid w:val="00E57599"/>
    <w:rsid w:val="00F95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9B9DD"/>
  <w15:chartTrackingRefBased/>
  <w15:docId w15:val="{38B6A09A-A027-4565-B865-61F2337B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57599"/>
    <w:pPr>
      <w:suppressAutoHyphens/>
      <w:spacing w:after="120" w:line="240" w:lineRule="auto"/>
    </w:pPr>
    <w:rPr>
      <w:rFonts w:ascii="Verdana" w:hAnsi="Verdana"/>
      <w:color w:val="44546A" w:themeColor="text2"/>
      <w:sz w:val="17"/>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qFormat/>
    <w:rsid w:val="00E57599"/>
    <w:pPr>
      <w:tabs>
        <w:tab w:val="center" w:pos="4703"/>
        <w:tab w:val="right" w:pos="9406"/>
      </w:tabs>
      <w:spacing w:after="0"/>
    </w:pPr>
  </w:style>
  <w:style w:type="character" w:customStyle="1" w:styleId="En-tteCar">
    <w:name w:val="En-tête Car"/>
    <w:basedOn w:val="Policepardfaut"/>
    <w:link w:val="En-tte"/>
    <w:rsid w:val="00E57599"/>
    <w:rPr>
      <w:rFonts w:ascii="Verdana" w:hAnsi="Verdana"/>
      <w:color w:val="44546A" w:themeColor="text2"/>
      <w:sz w:val="17"/>
      <w:szCs w:val="24"/>
      <w:lang w:val="en-US"/>
    </w:rPr>
  </w:style>
  <w:style w:type="paragraph" w:styleId="Pieddepage">
    <w:name w:val="footer"/>
    <w:basedOn w:val="Normal"/>
    <w:link w:val="PieddepageCar"/>
    <w:uiPriority w:val="99"/>
    <w:unhideWhenUsed/>
    <w:rsid w:val="00E57599"/>
    <w:pPr>
      <w:tabs>
        <w:tab w:val="center" w:pos="4703"/>
        <w:tab w:val="right" w:pos="9406"/>
      </w:tabs>
      <w:spacing w:after="0"/>
    </w:pPr>
  </w:style>
  <w:style w:type="character" w:customStyle="1" w:styleId="PieddepageCar">
    <w:name w:val="Pied de page Car"/>
    <w:basedOn w:val="Policepardfaut"/>
    <w:link w:val="Pieddepage"/>
    <w:uiPriority w:val="99"/>
    <w:rsid w:val="00E57599"/>
    <w:rPr>
      <w:rFonts w:ascii="Verdana" w:hAnsi="Verdana"/>
      <w:color w:val="44546A" w:themeColor="text2"/>
      <w:sz w:val="17"/>
      <w:szCs w:val="24"/>
      <w:lang w:val="en-US"/>
    </w:rPr>
  </w:style>
  <w:style w:type="paragraph" w:customStyle="1" w:styleId="Footnote">
    <w:name w:val="Footnote"/>
    <w:basedOn w:val="Normal"/>
    <w:uiPriority w:val="99"/>
    <w:rsid w:val="00E57599"/>
    <w:pPr>
      <w:widowControl w:val="0"/>
      <w:suppressAutoHyphens w:val="0"/>
      <w:autoSpaceDE w:val="0"/>
      <w:autoSpaceDN w:val="0"/>
      <w:adjustRightInd w:val="0"/>
      <w:spacing w:after="0" w:line="190" w:lineRule="atLeast"/>
      <w:textAlignment w:val="center"/>
    </w:pPr>
    <w:rPr>
      <w:rFonts w:cs="Verdana"/>
      <w:sz w:val="13"/>
      <w:szCs w:val="13"/>
      <w:lang w:val="en-GB"/>
    </w:rPr>
  </w:style>
  <w:style w:type="character" w:styleId="Numrodepage">
    <w:name w:val="page number"/>
    <w:basedOn w:val="Policepardfaut"/>
    <w:uiPriority w:val="99"/>
    <w:semiHidden/>
    <w:unhideWhenUsed/>
    <w:rsid w:val="00E57599"/>
  </w:style>
  <w:style w:type="table" w:styleId="Grilledutableau">
    <w:name w:val="Table Grid"/>
    <w:basedOn w:val="TableauNormal"/>
    <w:uiPriority w:val="59"/>
    <w:rsid w:val="00E57599"/>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semiHidden/>
    <w:unhideWhenUsed/>
    <w:rsid w:val="00E57599"/>
    <w:rPr>
      <w:sz w:val="16"/>
      <w:szCs w:val="16"/>
    </w:rPr>
  </w:style>
  <w:style w:type="paragraph" w:styleId="Commentaire">
    <w:name w:val="annotation text"/>
    <w:basedOn w:val="Normal"/>
    <w:link w:val="CommentaireCar"/>
    <w:semiHidden/>
    <w:unhideWhenUsed/>
    <w:rsid w:val="00E57599"/>
    <w:rPr>
      <w:sz w:val="20"/>
      <w:szCs w:val="20"/>
    </w:rPr>
  </w:style>
  <w:style w:type="character" w:customStyle="1" w:styleId="CommentaireCar">
    <w:name w:val="Commentaire Car"/>
    <w:basedOn w:val="Policepardfaut"/>
    <w:link w:val="Commentaire"/>
    <w:semiHidden/>
    <w:rsid w:val="00E57599"/>
    <w:rPr>
      <w:rFonts w:ascii="Verdana" w:hAnsi="Verdana"/>
      <w:color w:val="44546A" w:themeColor="text2"/>
      <w:sz w:val="20"/>
      <w:szCs w:val="20"/>
      <w:lang w:val="en-US"/>
    </w:rPr>
  </w:style>
  <w:style w:type="table" w:customStyle="1" w:styleId="TableGrid1">
    <w:name w:val="Table Grid1"/>
    <w:basedOn w:val="TableauNormal"/>
    <w:next w:val="Grilledutableau"/>
    <w:uiPriority w:val="59"/>
    <w:rsid w:val="00E57599"/>
    <w:pPr>
      <w:spacing w:after="0" w:line="240" w:lineRule="auto"/>
    </w:pPr>
    <w:rPr>
      <w:rFonts w:ascii="Verdana" w:hAnsi="Verdana"/>
      <w:color w:val="006E95"/>
      <w:sz w:val="20"/>
      <w:szCs w:val="24"/>
      <w:lang w:val="en-US"/>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Verdana" w:hAnsi="Verdana"/>
        <w:b w:val="0"/>
        <w:i w:val="0"/>
        <w:color w:val="FFFFFF"/>
        <w:sz w:val="18"/>
        <w:u w:color="FFFFFF"/>
      </w:rPr>
      <w:tblPr/>
      <w:tcPr>
        <w:shd w:val="clear" w:color="auto" w:fill="006E95"/>
      </w:tcPr>
    </w:tblStylePr>
    <w:tblStylePr w:type="band1Horz">
      <w:tblPr/>
      <w:tcPr>
        <w:shd w:val="clear" w:color="auto" w:fill="D4D8E8"/>
      </w:tcPr>
    </w:tblStylePr>
  </w:style>
  <w:style w:type="table" w:customStyle="1" w:styleId="TableGrid2">
    <w:name w:val="Table Grid2"/>
    <w:basedOn w:val="TableauNormal"/>
    <w:next w:val="Grilledutableau"/>
    <w:uiPriority w:val="59"/>
    <w:rsid w:val="00E57599"/>
    <w:pPr>
      <w:spacing w:after="0" w:line="240" w:lineRule="auto"/>
    </w:pPr>
    <w:rPr>
      <w:rFonts w:ascii="Verdana" w:hAnsi="Verdana"/>
      <w:color w:val="006E95"/>
      <w:sz w:val="20"/>
      <w:szCs w:val="24"/>
      <w:lang w:val="en-US"/>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Verdana" w:hAnsi="Verdana"/>
        <w:b w:val="0"/>
        <w:i w:val="0"/>
        <w:color w:val="FFFFFF"/>
        <w:sz w:val="18"/>
        <w:u w:color="FFFFFF"/>
      </w:rPr>
      <w:tblPr/>
      <w:tcPr>
        <w:shd w:val="clear" w:color="auto" w:fill="006E95"/>
      </w:tcPr>
    </w:tblStylePr>
    <w:tblStylePr w:type="band1Horz">
      <w:tblPr/>
      <w:tcPr>
        <w:shd w:val="clear" w:color="auto" w:fill="D4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5043</Words>
  <Characters>27737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Pe, Stéphanie</dc:creator>
  <cp:keywords/>
  <dc:description/>
  <cp:lastModifiedBy>Saint Pe, Stéphanie</cp:lastModifiedBy>
  <cp:revision>5</cp:revision>
  <dcterms:created xsi:type="dcterms:W3CDTF">2017-09-12T10:13:00Z</dcterms:created>
  <dcterms:modified xsi:type="dcterms:W3CDTF">2017-09-14T08:09:00Z</dcterms:modified>
</cp:coreProperties>
</file>